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horzAnchor="margin" w:tblpX="1" w:tblpY="3216"/>
        <w:tblW w:w="5000" w:type="pct"/>
        <w:tblLook w:val="04A0" w:firstRow="1" w:lastRow="0" w:firstColumn="1" w:lastColumn="0" w:noHBand="0" w:noVBand="1"/>
      </w:tblPr>
      <w:tblGrid>
        <w:gridCol w:w="936"/>
        <w:gridCol w:w="2770"/>
        <w:gridCol w:w="5364"/>
      </w:tblGrid>
      <w:tr w:rsidR="00632184" w14:paraId="2FE94D1C" w14:textId="77777777" w:rsidTr="00632184">
        <w:trPr>
          <w:trHeight w:val="2548"/>
        </w:trPr>
        <w:tc>
          <w:tcPr>
            <w:tcW w:w="516" w:type="pct"/>
          </w:tcPr>
          <w:p w14:paraId="04489E01" w14:textId="77777777" w:rsidR="00632184" w:rsidRPr="00C06116" w:rsidRDefault="00632184" w:rsidP="008F3187"/>
        </w:tc>
        <w:tc>
          <w:tcPr>
            <w:tcW w:w="4484" w:type="pct"/>
            <w:gridSpan w:val="2"/>
          </w:tcPr>
          <w:p w14:paraId="70E22D1B" w14:textId="77777777" w:rsidR="00632184" w:rsidRPr="00C06116" w:rsidRDefault="00632184" w:rsidP="008F3187"/>
        </w:tc>
      </w:tr>
      <w:tr w:rsidR="00632184" w:rsidRPr="009169F7" w14:paraId="66079BF9" w14:textId="77777777" w:rsidTr="00632184">
        <w:trPr>
          <w:trHeight w:val="1276"/>
        </w:trPr>
        <w:tc>
          <w:tcPr>
            <w:tcW w:w="516" w:type="pct"/>
          </w:tcPr>
          <w:p w14:paraId="243FFF05" w14:textId="77777777" w:rsidR="00632184" w:rsidRPr="00C06116" w:rsidRDefault="00632184" w:rsidP="008F3187"/>
        </w:tc>
        <w:tc>
          <w:tcPr>
            <w:tcW w:w="4484" w:type="pct"/>
            <w:gridSpan w:val="2"/>
            <w:vAlign w:val="center"/>
          </w:tcPr>
          <w:p w14:paraId="4627201C" w14:textId="712F9A86" w:rsidR="00632184" w:rsidRPr="004D6CC8" w:rsidRDefault="0006406C" w:rsidP="00CE6D2D">
            <w:pPr>
              <w:pStyle w:val="SJUTitleSyle"/>
              <w:framePr w:hSpace="0" w:wrap="auto" w:vAnchor="margin" w:hAnchor="text" w:xAlign="left" w:yAlign="inline"/>
              <w:rPr>
                <w:lang w:val="es-ES_tradnl"/>
              </w:rPr>
            </w:pPr>
            <w:r w:rsidRPr="006C47F4">
              <w:rPr>
                <w:rFonts w:asciiTheme="minorHAnsi" w:hAnsiTheme="minorHAnsi" w:cstheme="minorHAnsi"/>
              </w:rPr>
              <w:t>N</w:t>
            </w:r>
            <w:r>
              <w:rPr>
                <w:rFonts w:asciiTheme="minorHAnsi" w:hAnsiTheme="minorHAnsi" w:cstheme="minorHAnsi"/>
              </w:rPr>
              <w:t>EUROPHYSIOLOGICAL MEASURES RELATED TO SPECIFIC MENTAL AND EMOTIONAL STATES</w:t>
            </w:r>
          </w:p>
        </w:tc>
      </w:tr>
      <w:tr w:rsidR="006532C2" w14:paraId="4238E92F" w14:textId="77777777" w:rsidTr="006532C2">
        <w:trPr>
          <w:trHeight w:val="438"/>
        </w:trPr>
        <w:tc>
          <w:tcPr>
            <w:tcW w:w="516" w:type="pct"/>
          </w:tcPr>
          <w:p w14:paraId="4CF79C70" w14:textId="77777777" w:rsidR="006532C2" w:rsidRPr="004D6CC8" w:rsidRDefault="006532C2" w:rsidP="00F16E9F">
            <w:pPr>
              <w:spacing w:after="0"/>
              <w:rPr>
                <w:lang w:val="es-ES_tradnl"/>
              </w:rPr>
            </w:pPr>
          </w:p>
        </w:tc>
        <w:tc>
          <w:tcPr>
            <w:tcW w:w="1527" w:type="pct"/>
            <w:vAlign w:val="center"/>
          </w:tcPr>
          <w:p w14:paraId="52394DA0" w14:textId="77777777" w:rsidR="006532C2" w:rsidRPr="007C7AC4" w:rsidRDefault="009B324D" w:rsidP="00F16E9F">
            <w:pPr>
              <w:pStyle w:val="CoverData"/>
            </w:pPr>
            <w:r w:rsidRPr="009B324D">
              <w:t>Deliverable</w:t>
            </w:r>
            <w:r w:rsidR="004E29A9">
              <w:t xml:space="preserve"> </w:t>
            </w:r>
            <w:r w:rsidRPr="009B324D">
              <w:t>ID</w:t>
            </w:r>
            <w:r w:rsidR="00E120D6">
              <w:t>:</w:t>
            </w:r>
          </w:p>
        </w:tc>
        <w:tc>
          <w:tcPr>
            <w:tcW w:w="2957" w:type="pct"/>
            <w:vAlign w:val="center"/>
          </w:tcPr>
          <w:p w14:paraId="7B63E443" w14:textId="2EDF646D" w:rsidR="006532C2" w:rsidRPr="007C7AC4" w:rsidRDefault="0006406C" w:rsidP="00F16E9F">
            <w:pPr>
              <w:pStyle w:val="CoverData"/>
            </w:pPr>
            <w:r>
              <w:t>4.1</w:t>
            </w:r>
          </w:p>
        </w:tc>
      </w:tr>
      <w:tr w:rsidR="003819C0" w14:paraId="61AFB1C7" w14:textId="77777777" w:rsidTr="006532C2">
        <w:trPr>
          <w:trHeight w:val="438"/>
        </w:trPr>
        <w:tc>
          <w:tcPr>
            <w:tcW w:w="516" w:type="pct"/>
          </w:tcPr>
          <w:p w14:paraId="1C5679E2" w14:textId="77777777" w:rsidR="003819C0" w:rsidRPr="00C06116" w:rsidRDefault="003819C0" w:rsidP="00F16E9F">
            <w:pPr>
              <w:spacing w:after="0"/>
            </w:pPr>
          </w:p>
        </w:tc>
        <w:tc>
          <w:tcPr>
            <w:tcW w:w="1527" w:type="pct"/>
            <w:vAlign w:val="center"/>
          </w:tcPr>
          <w:p w14:paraId="3C8E835B" w14:textId="77777777" w:rsidR="003819C0" w:rsidRPr="00A4414E" w:rsidRDefault="003819C0" w:rsidP="00F16E9F">
            <w:pPr>
              <w:pStyle w:val="CoverData"/>
            </w:pPr>
            <w:r w:rsidRPr="00974178">
              <w:t>Dissemination</w:t>
            </w:r>
            <w:r w:rsidR="004E29A9">
              <w:t xml:space="preserve"> </w:t>
            </w:r>
            <w:r w:rsidRPr="00974178">
              <w:t>Level</w:t>
            </w:r>
            <w:r>
              <w:t>:</w:t>
            </w:r>
          </w:p>
        </w:tc>
        <w:tc>
          <w:tcPr>
            <w:tcW w:w="2957" w:type="pct"/>
            <w:vAlign w:val="center"/>
          </w:tcPr>
          <w:p w14:paraId="42521300" w14:textId="5C98AC6B" w:rsidR="003819C0" w:rsidRDefault="0006406C" w:rsidP="004A2CBC">
            <w:pPr>
              <w:pStyle w:val="CoverData"/>
            </w:pPr>
            <w:r>
              <w:t>CO</w:t>
            </w:r>
          </w:p>
        </w:tc>
      </w:tr>
      <w:tr w:rsidR="00A4414E" w14:paraId="117E260F" w14:textId="77777777" w:rsidTr="006532C2">
        <w:trPr>
          <w:trHeight w:val="438"/>
        </w:trPr>
        <w:tc>
          <w:tcPr>
            <w:tcW w:w="516" w:type="pct"/>
          </w:tcPr>
          <w:p w14:paraId="2C4403C6" w14:textId="77777777" w:rsidR="00A4414E" w:rsidRPr="00C06116" w:rsidRDefault="00A4414E" w:rsidP="00F16E9F">
            <w:pPr>
              <w:spacing w:after="0"/>
            </w:pPr>
          </w:p>
        </w:tc>
        <w:tc>
          <w:tcPr>
            <w:tcW w:w="1527" w:type="pct"/>
            <w:vAlign w:val="center"/>
          </w:tcPr>
          <w:p w14:paraId="48518CA9" w14:textId="77777777" w:rsidR="00A4414E" w:rsidRDefault="00A4414E" w:rsidP="00F16E9F">
            <w:pPr>
              <w:pStyle w:val="CoverData"/>
            </w:pPr>
            <w:r w:rsidRPr="00A4414E">
              <w:t>Project</w:t>
            </w:r>
            <w:r w:rsidR="004E29A9">
              <w:t xml:space="preserve"> </w:t>
            </w:r>
            <w:r w:rsidRPr="00A4414E">
              <w:t>Acronym</w:t>
            </w:r>
            <w:r w:rsidR="00E120D6">
              <w:t>:</w:t>
            </w:r>
          </w:p>
        </w:tc>
        <w:tc>
          <w:tcPr>
            <w:tcW w:w="2957" w:type="pct"/>
            <w:vAlign w:val="center"/>
          </w:tcPr>
          <w:p w14:paraId="7B8DFF0A" w14:textId="01266E97" w:rsidR="00A4414E" w:rsidRDefault="009621F5" w:rsidP="004A2CBC">
            <w:pPr>
              <w:pStyle w:val="CoverData"/>
            </w:pPr>
            <w:fldSimple w:instr=" DOCPROPERTY  ProjectAcronym  \* MERGEFORMAT ">
              <w:r w:rsidR="001969B8">
                <w:t>ARTMATION</w:t>
              </w:r>
            </w:fldSimple>
          </w:p>
        </w:tc>
      </w:tr>
      <w:tr w:rsidR="00654908" w14:paraId="21AFA6AF" w14:textId="77777777" w:rsidTr="00921BE3">
        <w:trPr>
          <w:trHeight w:val="317"/>
        </w:trPr>
        <w:tc>
          <w:tcPr>
            <w:tcW w:w="516" w:type="pct"/>
          </w:tcPr>
          <w:p w14:paraId="2F86D801" w14:textId="77777777" w:rsidR="00654908" w:rsidRPr="00C06116" w:rsidRDefault="00654908" w:rsidP="00F16E9F">
            <w:pPr>
              <w:spacing w:after="0"/>
            </w:pPr>
          </w:p>
        </w:tc>
        <w:tc>
          <w:tcPr>
            <w:tcW w:w="1527" w:type="pct"/>
            <w:vAlign w:val="center"/>
          </w:tcPr>
          <w:p w14:paraId="63196DEF" w14:textId="77777777" w:rsidR="00654908" w:rsidRPr="007C7AC4" w:rsidRDefault="00654908" w:rsidP="00F16E9F">
            <w:pPr>
              <w:pStyle w:val="CoverData"/>
            </w:pPr>
            <w:r w:rsidRPr="007C7AC4">
              <w:t xml:space="preserve">Grant: </w:t>
            </w:r>
          </w:p>
        </w:tc>
        <w:tc>
          <w:tcPr>
            <w:tcW w:w="2957" w:type="pct"/>
            <w:vAlign w:val="center"/>
          </w:tcPr>
          <w:p w14:paraId="619B6647" w14:textId="555E984A" w:rsidR="00654908" w:rsidRPr="007C7AC4" w:rsidRDefault="009621F5" w:rsidP="00F16E9F">
            <w:pPr>
              <w:pStyle w:val="CoverData"/>
            </w:pPr>
            <w:fldSimple w:instr=" DOCPROPERTY  GrantNumber  \* MERGEFORMAT ">
              <w:r w:rsidR="001969B8" w:rsidRPr="00E85615">
                <w:rPr>
                  <w:bCs/>
                  <w:color w:val="1F497D" w:themeColor="text2"/>
                  <w:szCs w:val="24"/>
                </w:rPr>
                <w:t>894238</w:t>
              </w:r>
            </w:fldSimple>
          </w:p>
        </w:tc>
      </w:tr>
      <w:tr w:rsidR="00654908" w14:paraId="0FE3302B" w14:textId="77777777" w:rsidTr="00921BE3">
        <w:trPr>
          <w:trHeight w:val="317"/>
        </w:trPr>
        <w:tc>
          <w:tcPr>
            <w:tcW w:w="516" w:type="pct"/>
          </w:tcPr>
          <w:p w14:paraId="6A9A48D6" w14:textId="77777777" w:rsidR="00654908" w:rsidRPr="00C06116" w:rsidRDefault="00654908" w:rsidP="00F16E9F">
            <w:pPr>
              <w:spacing w:after="0"/>
            </w:pPr>
          </w:p>
        </w:tc>
        <w:tc>
          <w:tcPr>
            <w:tcW w:w="1527" w:type="pct"/>
            <w:vAlign w:val="center"/>
          </w:tcPr>
          <w:p w14:paraId="3BE91B99" w14:textId="77777777" w:rsidR="00654908" w:rsidRPr="007C7AC4" w:rsidRDefault="00654908" w:rsidP="00F16E9F">
            <w:pPr>
              <w:pStyle w:val="CoverData"/>
            </w:pPr>
            <w:r w:rsidRPr="007C7AC4">
              <w:t>Call:</w:t>
            </w:r>
          </w:p>
        </w:tc>
        <w:tc>
          <w:tcPr>
            <w:tcW w:w="2957" w:type="pct"/>
            <w:vAlign w:val="center"/>
          </w:tcPr>
          <w:p w14:paraId="78D49EF6" w14:textId="38588413" w:rsidR="00654908" w:rsidRPr="007C7AC4" w:rsidRDefault="00FD6F90" w:rsidP="00F16E9F">
            <w:pPr>
              <w:pStyle w:val="CoverData"/>
            </w:pPr>
            <w:r>
              <w:fldChar w:fldCharType="begin"/>
            </w:r>
            <w:r>
              <w:instrText xml:space="preserve"> DOCPROPERTY  CallReference  \* MERGEFORMAT </w:instrText>
            </w:r>
            <w:r>
              <w:fldChar w:fldCharType="separate"/>
            </w:r>
            <w:r w:rsidR="003A37A2">
              <w:t>H2020-SESAR-20</w:t>
            </w:r>
            <w:r w:rsidR="001969B8">
              <w:t>19</w:t>
            </w:r>
            <w:r w:rsidR="003A37A2">
              <w:t>-</w:t>
            </w:r>
            <w:r w:rsidR="0006406C">
              <w:t>01</w:t>
            </w:r>
            <w:r>
              <w:fldChar w:fldCharType="end"/>
            </w:r>
          </w:p>
        </w:tc>
      </w:tr>
      <w:tr w:rsidR="00654908" w14:paraId="3F945253" w14:textId="77777777" w:rsidTr="00921BE3">
        <w:trPr>
          <w:trHeight w:val="317"/>
        </w:trPr>
        <w:tc>
          <w:tcPr>
            <w:tcW w:w="516" w:type="pct"/>
          </w:tcPr>
          <w:p w14:paraId="19BB8B35" w14:textId="77777777" w:rsidR="00654908" w:rsidRPr="00C06116" w:rsidRDefault="00654908" w:rsidP="00F16E9F">
            <w:pPr>
              <w:spacing w:after="0"/>
            </w:pPr>
          </w:p>
        </w:tc>
        <w:tc>
          <w:tcPr>
            <w:tcW w:w="1527" w:type="pct"/>
            <w:vAlign w:val="center"/>
          </w:tcPr>
          <w:p w14:paraId="4AD842D3" w14:textId="77777777" w:rsidR="00654908" w:rsidRPr="007C7AC4" w:rsidRDefault="00654908" w:rsidP="00F16E9F">
            <w:pPr>
              <w:pStyle w:val="CoverData"/>
            </w:pPr>
            <w:r w:rsidRPr="007C7AC4">
              <w:t>Topic:</w:t>
            </w:r>
          </w:p>
        </w:tc>
        <w:tc>
          <w:tcPr>
            <w:tcW w:w="2957" w:type="pct"/>
            <w:vAlign w:val="center"/>
          </w:tcPr>
          <w:p w14:paraId="658878EF" w14:textId="564E11D1" w:rsidR="00654908" w:rsidRPr="007C7AC4" w:rsidRDefault="009621F5" w:rsidP="00F16E9F">
            <w:pPr>
              <w:pStyle w:val="CoverData"/>
            </w:pPr>
            <w:fldSimple w:instr=" DOCPROPERTY  TopicReference  \* MERGEFORMAT ">
              <w:r w:rsidR="001969B8" w:rsidRPr="001969B8">
                <w:t xml:space="preserve">Digitalisation and Automation principles for </w:t>
              </w:r>
              <w:r w:rsidR="001969B8">
                <w:t>ATM</w:t>
              </w:r>
            </w:fldSimple>
          </w:p>
        </w:tc>
      </w:tr>
      <w:tr w:rsidR="00921BE3" w14:paraId="32C0F59C" w14:textId="77777777" w:rsidTr="00921BE3">
        <w:trPr>
          <w:trHeight w:val="317"/>
        </w:trPr>
        <w:tc>
          <w:tcPr>
            <w:tcW w:w="516" w:type="pct"/>
          </w:tcPr>
          <w:p w14:paraId="38270A67" w14:textId="77777777" w:rsidR="00921BE3" w:rsidRPr="00C06116" w:rsidRDefault="00921BE3" w:rsidP="00F16E9F">
            <w:pPr>
              <w:spacing w:after="0"/>
            </w:pPr>
          </w:p>
        </w:tc>
        <w:tc>
          <w:tcPr>
            <w:tcW w:w="1527" w:type="pct"/>
            <w:vAlign w:val="center"/>
          </w:tcPr>
          <w:p w14:paraId="4CC6D980" w14:textId="77777777" w:rsidR="00921BE3" w:rsidRPr="007C7AC4" w:rsidRDefault="004E29A9" w:rsidP="00F16E9F">
            <w:pPr>
              <w:pStyle w:val="CoverData"/>
            </w:pPr>
            <w:r>
              <w:t>Consortium C</w:t>
            </w:r>
            <w:r w:rsidR="00921BE3" w:rsidRPr="007C7AC4">
              <w:t xml:space="preserve">oordinator: </w:t>
            </w:r>
          </w:p>
        </w:tc>
        <w:tc>
          <w:tcPr>
            <w:tcW w:w="2957" w:type="pct"/>
            <w:vAlign w:val="center"/>
          </w:tcPr>
          <w:p w14:paraId="0392D34D" w14:textId="1C2B577E" w:rsidR="00921BE3" w:rsidRPr="007C7AC4" w:rsidRDefault="00FD6F90" w:rsidP="00F16E9F">
            <w:pPr>
              <w:pStyle w:val="CoverData"/>
            </w:pPr>
            <w:r>
              <w:fldChar w:fldCharType="begin"/>
            </w:r>
            <w:r>
              <w:instrText xml:space="preserve"> DOCPROPERTY  ConsortiumCoordinatorCompany  \* MERGEFORMAT </w:instrText>
            </w:r>
            <w:r>
              <w:fldChar w:fldCharType="separate"/>
            </w:r>
            <w:r w:rsidR="001969B8">
              <w:t>MDU</w:t>
            </w:r>
            <w:r>
              <w:fldChar w:fldCharType="end"/>
            </w:r>
          </w:p>
        </w:tc>
      </w:tr>
      <w:tr w:rsidR="00921BE3" w14:paraId="2979BD29" w14:textId="77777777" w:rsidTr="00921BE3">
        <w:trPr>
          <w:trHeight w:val="317"/>
        </w:trPr>
        <w:tc>
          <w:tcPr>
            <w:tcW w:w="516" w:type="pct"/>
          </w:tcPr>
          <w:p w14:paraId="2F9B23D6" w14:textId="77777777" w:rsidR="00921BE3" w:rsidRPr="00C06116" w:rsidRDefault="00921BE3" w:rsidP="00F16E9F">
            <w:pPr>
              <w:spacing w:after="0"/>
            </w:pPr>
          </w:p>
        </w:tc>
        <w:tc>
          <w:tcPr>
            <w:tcW w:w="1527" w:type="pct"/>
            <w:vAlign w:val="center"/>
          </w:tcPr>
          <w:p w14:paraId="6DBA8B20" w14:textId="77777777" w:rsidR="00921BE3" w:rsidRPr="007C7AC4" w:rsidRDefault="00921BE3" w:rsidP="00F16E9F">
            <w:pPr>
              <w:pStyle w:val="CoverData"/>
            </w:pPr>
            <w:r w:rsidRPr="007C7AC4">
              <w:t xml:space="preserve">Edition date: </w:t>
            </w:r>
          </w:p>
        </w:tc>
        <w:tc>
          <w:tcPr>
            <w:tcW w:w="2957" w:type="pct"/>
            <w:vAlign w:val="center"/>
          </w:tcPr>
          <w:p w14:paraId="28784848" w14:textId="2FBDA127" w:rsidR="00921BE3" w:rsidRPr="007C7AC4" w:rsidRDefault="00641EDF" w:rsidP="00F16E9F">
            <w:pPr>
              <w:pStyle w:val="CoverData"/>
            </w:pPr>
            <w:r>
              <w:fldChar w:fldCharType="begin"/>
            </w:r>
            <w:r>
              <w:instrText xml:space="preserve"> DOCPROPERTY  EditionDate  \* MERGEFORMAT </w:instrText>
            </w:r>
            <w:r>
              <w:fldChar w:fldCharType="separate"/>
            </w:r>
            <w:r>
              <w:rPr>
                <w:rFonts w:asciiTheme="minorHAnsi" w:hAnsiTheme="minorHAnsi" w:cstheme="minorHAnsi"/>
              </w:rPr>
              <w:t>13</w:t>
            </w:r>
            <w:r w:rsidRPr="00757C58">
              <w:rPr>
                <w:rFonts w:asciiTheme="minorHAnsi" w:hAnsiTheme="minorHAnsi" w:cstheme="minorHAnsi"/>
              </w:rPr>
              <w:t xml:space="preserve"> </w:t>
            </w:r>
            <w:r>
              <w:rPr>
                <w:rFonts w:asciiTheme="minorHAnsi" w:hAnsiTheme="minorHAnsi" w:cstheme="minorHAnsi"/>
              </w:rPr>
              <w:t>May</w:t>
            </w:r>
            <w:r w:rsidRPr="00757C58">
              <w:rPr>
                <w:rFonts w:asciiTheme="minorHAnsi" w:hAnsiTheme="minorHAnsi" w:cstheme="minorHAnsi"/>
              </w:rPr>
              <w:t xml:space="preserve"> 202</w:t>
            </w:r>
            <w:r>
              <w:rPr>
                <w:rFonts w:asciiTheme="minorHAnsi" w:hAnsiTheme="minorHAnsi" w:cstheme="minorHAnsi"/>
              </w:rPr>
              <w:t>2</w:t>
            </w:r>
            <w:r>
              <w:rPr>
                <w:rFonts w:asciiTheme="minorHAnsi" w:hAnsiTheme="minorHAnsi" w:cstheme="minorHAnsi"/>
              </w:rPr>
              <w:fldChar w:fldCharType="end"/>
            </w:r>
          </w:p>
        </w:tc>
      </w:tr>
      <w:tr w:rsidR="00921BE3" w14:paraId="44D0DFD2" w14:textId="77777777" w:rsidTr="00921BE3">
        <w:trPr>
          <w:trHeight w:val="317"/>
        </w:trPr>
        <w:tc>
          <w:tcPr>
            <w:tcW w:w="516" w:type="pct"/>
          </w:tcPr>
          <w:p w14:paraId="3E5AA0EA" w14:textId="77777777" w:rsidR="00921BE3" w:rsidRPr="00C06116" w:rsidRDefault="00921BE3" w:rsidP="00F16E9F">
            <w:pPr>
              <w:spacing w:after="0"/>
            </w:pPr>
          </w:p>
        </w:tc>
        <w:tc>
          <w:tcPr>
            <w:tcW w:w="1527" w:type="pct"/>
            <w:vAlign w:val="center"/>
          </w:tcPr>
          <w:p w14:paraId="35DC14BD" w14:textId="77777777" w:rsidR="00921BE3" w:rsidRPr="007C7AC4" w:rsidRDefault="00921BE3" w:rsidP="00F16E9F">
            <w:pPr>
              <w:pStyle w:val="CoverData"/>
            </w:pPr>
            <w:r w:rsidRPr="007C7AC4">
              <w:t xml:space="preserve">Edition: </w:t>
            </w:r>
          </w:p>
        </w:tc>
        <w:tc>
          <w:tcPr>
            <w:tcW w:w="2957" w:type="pct"/>
            <w:vAlign w:val="center"/>
          </w:tcPr>
          <w:p w14:paraId="5714676F" w14:textId="18DC2891" w:rsidR="00921BE3" w:rsidRPr="007C7AC4" w:rsidRDefault="009621F5" w:rsidP="00DD1591">
            <w:pPr>
              <w:pStyle w:val="SJUEditionStyle"/>
            </w:pPr>
            <w:fldSimple w:instr=" DOCPROPERTY  EditionNumber  \* MERGEFORMAT ">
              <w:r w:rsidR="0006406C">
                <w:t>00.0</w:t>
              </w:r>
              <w:r w:rsidR="00641EDF">
                <w:t>3</w:t>
              </w:r>
              <w:r w:rsidR="0006406C">
                <w:t>.00</w:t>
              </w:r>
            </w:fldSimple>
          </w:p>
        </w:tc>
      </w:tr>
      <w:tr w:rsidR="00DD5C08" w14:paraId="3C907BD3" w14:textId="77777777" w:rsidTr="00921BE3">
        <w:trPr>
          <w:trHeight w:val="317"/>
        </w:trPr>
        <w:tc>
          <w:tcPr>
            <w:tcW w:w="516" w:type="pct"/>
          </w:tcPr>
          <w:p w14:paraId="1C27549B" w14:textId="77777777" w:rsidR="00DD5C08" w:rsidRPr="00C06116" w:rsidRDefault="00DD5C08" w:rsidP="00DD5C08">
            <w:pPr>
              <w:spacing w:after="0"/>
            </w:pPr>
          </w:p>
        </w:tc>
        <w:tc>
          <w:tcPr>
            <w:tcW w:w="1527" w:type="pct"/>
            <w:vAlign w:val="center"/>
          </w:tcPr>
          <w:p w14:paraId="2BE58591" w14:textId="77777777" w:rsidR="00DD5C08" w:rsidRPr="007C7AC4" w:rsidRDefault="00DD5C08" w:rsidP="00DD5C08">
            <w:pPr>
              <w:pStyle w:val="CoverData"/>
            </w:pPr>
            <w:r>
              <w:t>Template Edition</w:t>
            </w:r>
            <w:r w:rsidRPr="007C7AC4">
              <w:t>:</w:t>
            </w:r>
          </w:p>
        </w:tc>
        <w:tc>
          <w:tcPr>
            <w:tcW w:w="2957" w:type="pct"/>
            <w:vAlign w:val="center"/>
          </w:tcPr>
          <w:p w14:paraId="1F41DB8D" w14:textId="77777777" w:rsidR="00DD5C08" w:rsidRPr="007C7AC4" w:rsidRDefault="009621F5" w:rsidP="00151C55">
            <w:pPr>
              <w:pStyle w:val="CoverData"/>
            </w:pPr>
            <w:fldSimple w:instr=" DOCPROPERTY  &quot;Template Edition&quot;  \* MERGEFORMAT ">
              <w:r w:rsidR="003A37A2">
                <w:t>02.00.0</w:t>
              </w:r>
              <w:r w:rsidR="00151C55">
                <w:t>5</w:t>
              </w:r>
            </w:fldSimple>
          </w:p>
        </w:tc>
      </w:tr>
    </w:tbl>
    <w:p w14:paraId="0DEB320F" w14:textId="77777777" w:rsidR="00B466D3" w:rsidRPr="00B466D3" w:rsidRDefault="00B466D3" w:rsidP="00B466D3">
      <w:pPr>
        <w:spacing w:after="0"/>
        <w:rPr>
          <w:vanish/>
        </w:rPr>
      </w:pPr>
    </w:p>
    <w:tbl>
      <w:tblPr>
        <w:tblpPr w:leftFromText="181" w:rightFromText="181" w:vertAnchor="page" w:horzAnchor="page" w:tblpX="8591" w:tblpY="823"/>
        <w:tblW w:w="0" w:type="auto"/>
        <w:tblLook w:val="04A0" w:firstRow="1" w:lastRow="0" w:firstColumn="1" w:lastColumn="0" w:noHBand="0" w:noVBand="1"/>
      </w:tblPr>
      <w:tblGrid>
        <w:gridCol w:w="2713"/>
      </w:tblGrid>
      <w:tr w:rsidR="00AA58C8" w:rsidRPr="00327E6C" w14:paraId="0968E764" w14:textId="77777777" w:rsidTr="006532C2">
        <w:trPr>
          <w:trHeight w:val="494"/>
        </w:trPr>
        <w:tc>
          <w:tcPr>
            <w:tcW w:w="2713" w:type="dxa"/>
            <w:shd w:val="clear" w:color="auto" w:fill="auto"/>
            <w:tcMar>
              <w:left w:w="0" w:type="dxa"/>
              <w:right w:w="0" w:type="dxa"/>
            </w:tcMar>
            <w:vAlign w:val="center"/>
          </w:tcPr>
          <w:p w14:paraId="12EC2C37" w14:textId="77777777" w:rsidR="00AA58C8" w:rsidRPr="00327E6C" w:rsidRDefault="008D1632" w:rsidP="006532C2">
            <w:pPr>
              <w:pStyle w:val="Exploratory"/>
              <w:framePr w:hSpace="0" w:wrap="auto" w:vAnchor="margin" w:hAnchor="text" w:xAlign="left" w:yAlign="inline"/>
              <w:jc w:val="right"/>
              <w:rPr>
                <w:color w:val="009082"/>
              </w:rPr>
            </w:pPr>
            <w:r>
              <w:rPr>
                <w:color w:val="009082"/>
              </w:rPr>
              <w:t>EXPLORATORY</w:t>
            </w:r>
            <w:r w:rsidR="00AA58C8" w:rsidRPr="00327E6C">
              <w:rPr>
                <w:color w:val="009082"/>
              </w:rPr>
              <w:t xml:space="preserve"> RESEARCH</w:t>
            </w:r>
          </w:p>
        </w:tc>
      </w:tr>
    </w:tbl>
    <w:p w14:paraId="18819DA7" w14:textId="411D572E" w:rsidR="00C06116" w:rsidRPr="00C06116" w:rsidRDefault="008D1632" w:rsidP="008F3187">
      <w:pPr>
        <w:rPr>
          <w:lang w:val="en-US" w:eastAsia="ja-JP"/>
        </w:rPr>
      </w:pPr>
      <w:r>
        <w:rPr>
          <w:noProof/>
          <w:lang w:eastAsia="en-GB"/>
        </w:rPr>
        <mc:AlternateContent>
          <mc:Choice Requires="wps">
            <w:drawing>
              <wp:anchor distT="4294967295" distB="4294967295" distL="114300" distR="114300" simplePos="0" relativeHeight="251657216" behindDoc="0" locked="0" layoutInCell="1" allowOverlap="1" wp14:anchorId="583ECD8A" wp14:editId="1DA65E46">
                <wp:simplePos x="0" y="0"/>
                <wp:positionH relativeFrom="column">
                  <wp:posOffset>-457200</wp:posOffset>
                </wp:positionH>
                <wp:positionV relativeFrom="page">
                  <wp:posOffset>504189</wp:posOffset>
                </wp:positionV>
                <wp:extent cx="6743700" cy="0"/>
                <wp:effectExtent l="0" t="19050" r="0" b="0"/>
                <wp:wrapNone/>
                <wp:docPr id="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38100">
                          <a:solidFill>
                            <a:srgbClr val="00908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00454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B5590A" id="Straight Connector 4" o:spid="_x0000_s1026" style="position:absolute;z-index:251657216;visibility:visible;mso-wrap-style:square;mso-width-percent:0;mso-height-percent:0;mso-wrap-distance-left:9pt;mso-wrap-distance-top:.‡mm;mso-wrap-distance-right:9pt;mso-wrap-distance-bottom:.‡mm;mso-position-horizontal:absolute;mso-position-horizontal-relative:text;mso-position-vertical:absolute;mso-position-vertical-relative:page;mso-width-percent:0;mso-height-percent:0;mso-width-relative:page;mso-height-relative:page" from="-36pt,39.7pt" to="49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" strokecolor="#009082" strokeweight="3pt">
                <v:shadow color="#004540" opacity=".5" offset="1pt"/>
                <w10:wrap anchory="page"/>
              </v:line>
            </w:pict>
          </mc:Fallback>
        </mc:AlternateContent>
      </w:r>
    </w:p>
    <w:p w14:paraId="3F89DD98" w14:textId="77777777" w:rsidR="00F2139F" w:rsidRDefault="009D6EF3" w:rsidP="008F3187">
      <w:r>
        <w:rPr>
          <w:noProof/>
          <w:lang w:val="en-US"/>
        </w:rPr>
        <w:t xml:space="preserve"> </w:t>
      </w:r>
    </w:p>
    <w:p w14:paraId="2706E677" w14:textId="77777777" w:rsidR="00F2139F" w:rsidRDefault="00F2139F" w:rsidP="008F3187"/>
    <w:p w14:paraId="4EC41954" w14:textId="77777777" w:rsidR="00F41413" w:rsidRPr="00C06116" w:rsidRDefault="00DB3C81" w:rsidP="008F3187">
      <w:pPr>
        <w:pStyle w:val="CoverData"/>
        <w:rPr>
          <w:color w:val="A5D028"/>
          <w:highlight w:val="yellow"/>
        </w:rPr>
      </w:pPr>
      <w:r>
        <w:br w:type="page"/>
      </w:r>
    </w:p>
    <w:tbl>
      <w:tblPr>
        <w:tblW w:w="0" w:type="auto"/>
        <w:tblBorders>
          <w:top w:val="single" w:sz="8" w:space="0" w:color="4E88C7"/>
          <w:bottom w:val="single" w:sz="8" w:space="0" w:color="4E88C7"/>
        </w:tblBorders>
        <w:tblLook w:val="04A0" w:firstRow="1" w:lastRow="0" w:firstColumn="1" w:lastColumn="0" w:noHBand="0" w:noVBand="1"/>
      </w:tblPr>
      <w:tblGrid>
        <w:gridCol w:w="4111"/>
        <w:gridCol w:w="2616"/>
        <w:gridCol w:w="2343"/>
      </w:tblGrid>
      <w:tr w:rsidR="00C105BE" w14:paraId="00397C2A" w14:textId="77777777" w:rsidTr="006B1CB9">
        <w:tc>
          <w:tcPr>
            <w:tcW w:w="9070" w:type="dxa"/>
            <w:gridSpan w:val="3"/>
            <w:tcBorders>
              <w:top w:val="nil"/>
              <w:bottom w:val="single" w:sz="8" w:space="0" w:color="4E88C7"/>
            </w:tcBorders>
            <w:shd w:val="clear" w:color="auto" w:fill="auto"/>
            <w:tcMar>
              <w:left w:w="0" w:type="dxa"/>
            </w:tcMar>
          </w:tcPr>
          <w:p w14:paraId="540C8AE6" w14:textId="77777777" w:rsidR="00C105BE" w:rsidRPr="00C06116" w:rsidRDefault="00C105BE" w:rsidP="006B1CB9">
            <w:pPr>
              <w:pStyle w:val="TableHeader"/>
            </w:pPr>
            <w:r w:rsidRPr="00C06116">
              <w:lastRenderedPageBreak/>
              <w:t>Authoring &amp; Approval</w:t>
            </w:r>
          </w:p>
        </w:tc>
      </w:tr>
      <w:tr w:rsidR="00C105BE" w14:paraId="40EE4A26" w14:textId="77777777" w:rsidTr="006B1CB9">
        <w:trPr>
          <w:hidden/>
        </w:trPr>
        <w:tc>
          <w:tcPr>
            <w:tcW w:w="9070" w:type="dxa"/>
            <w:gridSpan w:val="3"/>
            <w:tcBorders>
              <w:top w:val="single" w:sz="8" w:space="0" w:color="4E88C7"/>
              <w:bottom w:val="single" w:sz="8" w:space="0" w:color="4E88C7"/>
            </w:tcBorders>
            <w:shd w:val="clear" w:color="auto" w:fill="FFFFFF"/>
            <w:tcMar>
              <w:left w:w="0" w:type="dxa"/>
            </w:tcMar>
          </w:tcPr>
          <w:p w14:paraId="385D0C3C" w14:textId="77777777" w:rsidR="009169F7" w:rsidRPr="00C91B97" w:rsidRDefault="009169F7" w:rsidP="009169F7">
            <w:pPr>
              <w:rPr>
                <w:i/>
                <w:iCs/>
                <w:vanish/>
                <w:color w:val="333399"/>
                <w:sz w:val="18"/>
              </w:rPr>
            </w:pPr>
            <w:r>
              <w:rPr>
                <w:i/>
                <w:iCs/>
                <w:vanish/>
                <w:color w:val="333399"/>
                <w:sz w:val="18"/>
              </w:rPr>
              <w:t>[</w:t>
            </w:r>
            <w:r w:rsidRPr="00C91B97">
              <w:rPr>
                <w:i/>
                <w:iCs/>
                <w:vanish/>
                <w:color w:val="333399"/>
                <w:sz w:val="18"/>
              </w:rPr>
              <w:t>The beneficiaries/consortium may chose the manner to fill in the authoring &amp; Approval tables according to the following options:</w:t>
            </w:r>
          </w:p>
          <w:p w14:paraId="64AB1D62" w14:textId="77777777" w:rsidR="009169F7" w:rsidRPr="00C91B97" w:rsidRDefault="009169F7" w:rsidP="009169F7">
            <w:pPr>
              <w:pStyle w:val="ListParagraph"/>
              <w:numPr>
                <w:ilvl w:val="0"/>
                <w:numId w:val="27"/>
              </w:numPr>
              <w:spacing w:after="0"/>
              <w:jc w:val="left"/>
              <w:rPr>
                <w:i/>
                <w:iCs/>
                <w:vanish/>
                <w:color w:val="333399"/>
                <w:sz w:val="18"/>
              </w:rPr>
            </w:pPr>
            <w:r w:rsidRPr="00C91B97">
              <w:rPr>
                <w:i/>
                <w:iCs/>
                <w:vanish/>
                <w:color w:val="333399"/>
                <w:sz w:val="18"/>
              </w:rPr>
              <w:t>Nominative – Writing down the name of the authors and the name of the participating entity.</w:t>
            </w:r>
          </w:p>
          <w:p w14:paraId="13931AB0" w14:textId="77777777" w:rsidR="009169F7" w:rsidRPr="00C91B97" w:rsidRDefault="009169F7" w:rsidP="009169F7">
            <w:pPr>
              <w:pStyle w:val="ListParagraph"/>
              <w:numPr>
                <w:ilvl w:val="0"/>
                <w:numId w:val="0"/>
              </w:numPr>
              <w:spacing w:after="0"/>
              <w:ind w:left="1440"/>
              <w:jc w:val="left"/>
              <w:rPr>
                <w:i/>
                <w:iCs/>
                <w:vanish/>
                <w:color w:val="333399"/>
                <w:sz w:val="18"/>
              </w:rPr>
            </w:pPr>
            <w:r w:rsidRPr="00C91B97">
              <w:rPr>
                <w:i/>
                <w:iCs/>
                <w:vanish/>
                <w:color w:val="333399"/>
                <w:sz w:val="18"/>
              </w:rPr>
              <w:t>In this case, the beneficiaries/consortium are fully responsible to the correct application of the GA, including data protection provisions in the frame of the Action (*see below the type of obligations)</w:t>
            </w:r>
          </w:p>
          <w:p w14:paraId="0D737C80" w14:textId="77777777" w:rsidR="009169F7" w:rsidRPr="00C91B97" w:rsidRDefault="009169F7" w:rsidP="009169F7">
            <w:pPr>
              <w:pStyle w:val="ListParagraph"/>
              <w:numPr>
                <w:ilvl w:val="0"/>
                <w:numId w:val="27"/>
              </w:numPr>
              <w:spacing w:after="0"/>
              <w:jc w:val="left"/>
              <w:rPr>
                <w:i/>
                <w:iCs/>
                <w:vanish/>
                <w:color w:val="333399"/>
                <w:sz w:val="18"/>
              </w:rPr>
            </w:pPr>
            <w:r w:rsidRPr="00C91B97">
              <w:rPr>
                <w:i/>
                <w:iCs/>
                <w:vanish/>
                <w:color w:val="333399"/>
                <w:sz w:val="18"/>
              </w:rPr>
              <w:t>Anonymous – Writing down the name of the participating entity.</w:t>
            </w:r>
          </w:p>
          <w:p w14:paraId="227BF492" w14:textId="77777777" w:rsidR="009169F7" w:rsidRPr="00C91B97" w:rsidRDefault="009169F7" w:rsidP="009169F7">
            <w:pPr>
              <w:spacing w:after="0"/>
              <w:jc w:val="left"/>
              <w:rPr>
                <w:i/>
                <w:iCs/>
                <w:vanish/>
                <w:color w:val="333399"/>
                <w:sz w:val="18"/>
              </w:rPr>
            </w:pPr>
          </w:p>
          <w:p w14:paraId="0862561D" w14:textId="77777777" w:rsidR="009169F7" w:rsidRPr="00C91B97" w:rsidRDefault="009169F7" w:rsidP="009169F7">
            <w:pPr>
              <w:rPr>
                <w:i/>
                <w:iCs/>
                <w:vanish/>
                <w:color w:val="333399"/>
                <w:sz w:val="18"/>
              </w:rPr>
            </w:pPr>
            <w:r w:rsidRPr="00C91B97">
              <w:rPr>
                <w:i/>
                <w:iCs/>
                <w:vanish/>
                <w:color w:val="333399"/>
                <w:sz w:val="18"/>
              </w:rPr>
              <w:t>Should option 1 be selected , the following statement shall remain:</w:t>
            </w:r>
          </w:p>
          <w:p w14:paraId="3F8E5E8B" w14:textId="77777777" w:rsidR="009169F7" w:rsidRPr="00C91B97" w:rsidRDefault="009169F7" w:rsidP="009169F7">
            <w:pPr>
              <w:spacing w:after="0"/>
              <w:jc w:val="left"/>
              <w:rPr>
                <w:i/>
                <w:iCs/>
                <w:vanish/>
                <w:color w:val="333399"/>
                <w:sz w:val="18"/>
              </w:rPr>
            </w:pPr>
            <w:r w:rsidRPr="00C91B97">
              <w:rPr>
                <w:i/>
                <w:iCs/>
                <w:vanish/>
                <w:color w:val="333399"/>
                <w:sz w:val="18"/>
              </w:rPr>
              <w:t>The beneficiaries/consortium confirm(s) the correct application of the GA, which includes data protection provisions, and compliance with GDPR or the applicable legal framework with an equivalent level of protection, in the frame of the Action. In particular, beneficiaries/consortium confirm(s) to be up to date with their consent management system.</w:t>
            </w:r>
          </w:p>
          <w:p w14:paraId="53CDC353" w14:textId="77777777" w:rsidR="009169F7" w:rsidRPr="00C91B97" w:rsidRDefault="009169F7" w:rsidP="009169F7">
            <w:pPr>
              <w:spacing w:after="0"/>
              <w:jc w:val="left"/>
              <w:rPr>
                <w:i/>
                <w:iCs/>
                <w:vanish/>
                <w:color w:val="333399"/>
                <w:sz w:val="18"/>
              </w:rPr>
            </w:pPr>
          </w:p>
          <w:p w14:paraId="17CB3646" w14:textId="77777777" w:rsidR="009169F7" w:rsidRPr="00C91B97" w:rsidRDefault="009169F7" w:rsidP="009169F7">
            <w:pPr>
              <w:spacing w:after="0"/>
              <w:jc w:val="left"/>
              <w:rPr>
                <w:i/>
                <w:iCs/>
                <w:vanish/>
                <w:color w:val="333399"/>
                <w:sz w:val="18"/>
              </w:rPr>
            </w:pPr>
          </w:p>
          <w:p w14:paraId="69EDDD37" w14:textId="77777777" w:rsidR="009169F7" w:rsidRDefault="009169F7" w:rsidP="009169F7">
            <w:pPr>
              <w:pStyle w:val="BodyText"/>
            </w:pPr>
            <w:r w:rsidRPr="00C91B97">
              <w:rPr>
                <w:i/>
                <w:iCs/>
                <w:vanish/>
                <w:color w:val="333399"/>
                <w:sz w:val="18"/>
              </w:rPr>
              <w:t xml:space="preserve">(*) As Controllers, beneficiaries/consortium are responsible for the processing of personal data within the frame of the Action. In particular, should beneficiaries/consortium decide to fill in the table in a nominative manner (include the beneficiaries/consortium decide to include the name of the author(s) in the table), it is the beneficiaries/consortium strict responsibility to obtain the explicit, freely given, informed and unambiguous consent from the author(s), as consent is the only possible legal base for this processing activity for this particular purpose (see list of processing operations point 3.2 in the </w:t>
            </w:r>
            <w:hyperlink r:id="rId11" w:history="1">
              <w:r w:rsidRPr="00C91B97">
                <w:rPr>
                  <w:vanish/>
                  <w:color w:val="333399"/>
                  <w:sz w:val="18"/>
                </w:rPr>
                <w:t>Horizon privacy statement</w:t>
              </w:r>
            </w:hyperlink>
            <w:r w:rsidRPr="00C91B97">
              <w:rPr>
                <w:i/>
                <w:iCs/>
                <w:vanish/>
                <w:color w:val="333399"/>
                <w:sz w:val="18"/>
              </w:rPr>
              <w:t>, in particular, point 3.2.2.1 on publication on the Internet). It is also the responsibility of the beneficiaries/consortium to immediately inform the SESAR</w:t>
            </w:r>
            <w:r>
              <w:rPr>
                <w:i/>
                <w:iCs/>
                <w:vanish/>
                <w:color w:val="333399"/>
                <w:sz w:val="18"/>
              </w:rPr>
              <w:t xml:space="preserve"> 3</w:t>
            </w:r>
            <w:r w:rsidRPr="00C91B97">
              <w:rPr>
                <w:i/>
                <w:iCs/>
                <w:vanish/>
                <w:color w:val="333399"/>
                <w:sz w:val="18"/>
              </w:rPr>
              <w:t xml:space="preserve"> JU should the author(s) withdraw consent</w:t>
            </w:r>
            <w:r w:rsidRPr="002F039C">
              <w:rPr>
                <w:i/>
                <w:iCs/>
                <w:vanish/>
                <w:color w:val="333399"/>
                <w:sz w:val="18"/>
              </w:rPr>
              <w:t>.</w:t>
            </w:r>
            <w:r>
              <w:rPr>
                <w:i/>
                <w:iCs/>
                <w:vanish/>
                <w:color w:val="333399"/>
                <w:sz w:val="18"/>
              </w:rPr>
              <w:t>]</w:t>
            </w:r>
          </w:p>
          <w:p w14:paraId="654C7340" w14:textId="77777777" w:rsidR="00C105BE" w:rsidRPr="00C06116" w:rsidRDefault="00C105BE" w:rsidP="006B1CB9">
            <w:pPr>
              <w:pStyle w:val="TableSubheader"/>
            </w:pPr>
            <w:r w:rsidRPr="00C06116">
              <w:t>Authors of the document</w:t>
            </w:r>
          </w:p>
        </w:tc>
      </w:tr>
      <w:tr w:rsidR="00C105BE" w14:paraId="6F2C1A67" w14:textId="77777777" w:rsidTr="006B1CB9">
        <w:tc>
          <w:tcPr>
            <w:tcW w:w="4111" w:type="dxa"/>
            <w:tcBorders>
              <w:top w:val="single" w:sz="8" w:space="0" w:color="4E88C7"/>
              <w:bottom w:val="single" w:sz="8" w:space="0" w:color="4E88C7"/>
            </w:tcBorders>
            <w:shd w:val="clear" w:color="auto" w:fill="DBE7F3"/>
            <w:tcMar>
              <w:left w:w="0" w:type="dxa"/>
            </w:tcMar>
          </w:tcPr>
          <w:p w14:paraId="109F5CDD" w14:textId="77777777" w:rsidR="00C105BE" w:rsidRPr="00C06116" w:rsidRDefault="00C105BE" w:rsidP="006871B3">
            <w:pPr>
              <w:pStyle w:val="TableData"/>
              <w:rPr>
                <w:b/>
              </w:rPr>
            </w:pPr>
            <w:r>
              <w:t>Name</w:t>
            </w:r>
            <w:r w:rsidR="006871B3">
              <w:t xml:space="preserve"> / </w:t>
            </w:r>
            <w:r>
              <w:t>Beneficiary</w:t>
            </w:r>
          </w:p>
        </w:tc>
        <w:tc>
          <w:tcPr>
            <w:tcW w:w="2616" w:type="dxa"/>
            <w:tcBorders>
              <w:top w:val="single" w:sz="8" w:space="0" w:color="4E88C7"/>
              <w:bottom w:val="single" w:sz="8" w:space="0" w:color="4E88C7"/>
            </w:tcBorders>
            <w:shd w:val="clear" w:color="auto" w:fill="DBE7F3"/>
          </w:tcPr>
          <w:p w14:paraId="4CBA4195" w14:textId="77777777" w:rsidR="00C105BE" w:rsidRDefault="00C105BE" w:rsidP="006B1CB9">
            <w:pPr>
              <w:pStyle w:val="TableData"/>
            </w:pPr>
            <w:r w:rsidRPr="007C4D0D">
              <w:t>Position</w:t>
            </w:r>
            <w:r w:rsidR="006871B3">
              <w:t xml:space="preserve"> </w:t>
            </w:r>
            <w:r>
              <w:t>/</w:t>
            </w:r>
            <w:r w:rsidR="006871B3">
              <w:t xml:space="preserve"> </w:t>
            </w:r>
            <w:r w:rsidRPr="007C4D0D">
              <w:t>Title</w:t>
            </w:r>
          </w:p>
        </w:tc>
        <w:tc>
          <w:tcPr>
            <w:tcW w:w="2343" w:type="dxa"/>
            <w:tcBorders>
              <w:top w:val="single" w:sz="8" w:space="0" w:color="4E88C7"/>
              <w:bottom w:val="single" w:sz="8" w:space="0" w:color="4E88C7"/>
            </w:tcBorders>
            <w:shd w:val="clear" w:color="auto" w:fill="DBE7F3"/>
          </w:tcPr>
          <w:p w14:paraId="2072CCEB" w14:textId="77777777" w:rsidR="00C105BE" w:rsidRDefault="00C105BE" w:rsidP="006B1CB9">
            <w:pPr>
              <w:pStyle w:val="TableData"/>
            </w:pPr>
            <w:r>
              <w:t>Date</w:t>
            </w:r>
          </w:p>
        </w:tc>
      </w:tr>
      <w:tr w:rsidR="0006406C" w14:paraId="69E9320E" w14:textId="77777777" w:rsidTr="006B1CB9">
        <w:tc>
          <w:tcPr>
            <w:tcW w:w="4111" w:type="dxa"/>
            <w:tcBorders>
              <w:top w:val="single" w:sz="8" w:space="0" w:color="4E88C7"/>
              <w:bottom w:val="single" w:sz="8" w:space="0" w:color="4E88C7"/>
            </w:tcBorders>
            <w:shd w:val="clear" w:color="auto" w:fill="auto"/>
            <w:tcMar>
              <w:left w:w="0" w:type="dxa"/>
            </w:tcMar>
          </w:tcPr>
          <w:p w14:paraId="09FDC2C1" w14:textId="4A9379BD" w:rsidR="0006406C" w:rsidRPr="00C06116" w:rsidRDefault="0006406C" w:rsidP="0006406C">
            <w:pPr>
              <w:pStyle w:val="TableData"/>
              <w:rPr>
                <w:b/>
              </w:rPr>
            </w:pPr>
            <w:r w:rsidRPr="00757C58">
              <w:rPr>
                <w:rFonts w:asciiTheme="minorHAnsi" w:hAnsiTheme="minorHAnsi" w:cstheme="minorHAnsi"/>
              </w:rPr>
              <w:t>Pietro Arico'</w:t>
            </w:r>
          </w:p>
        </w:tc>
        <w:tc>
          <w:tcPr>
            <w:tcW w:w="2616" w:type="dxa"/>
            <w:tcBorders>
              <w:top w:val="single" w:sz="8" w:space="0" w:color="4E88C7"/>
              <w:left w:val="nil"/>
              <w:bottom w:val="single" w:sz="8" w:space="0" w:color="4E88C7"/>
              <w:right w:val="nil"/>
            </w:tcBorders>
            <w:shd w:val="clear" w:color="auto" w:fill="auto"/>
          </w:tcPr>
          <w:p w14:paraId="672517CA" w14:textId="16B220FA" w:rsidR="0006406C" w:rsidRPr="00EB452C" w:rsidRDefault="0006406C" w:rsidP="0006406C">
            <w:pPr>
              <w:pStyle w:val="TableData"/>
            </w:pPr>
            <w:r w:rsidRPr="00757C58">
              <w:rPr>
                <w:rFonts w:asciiTheme="minorHAnsi" w:hAnsiTheme="minorHAnsi" w:cstheme="minorHAnsi"/>
              </w:rPr>
              <w:t>PhD at UNISAP</w:t>
            </w:r>
          </w:p>
        </w:tc>
        <w:tc>
          <w:tcPr>
            <w:tcW w:w="2343" w:type="dxa"/>
            <w:tcBorders>
              <w:top w:val="single" w:sz="8" w:space="0" w:color="4E88C7"/>
              <w:bottom w:val="single" w:sz="8" w:space="0" w:color="4E88C7"/>
            </w:tcBorders>
            <w:shd w:val="clear" w:color="auto" w:fill="auto"/>
          </w:tcPr>
          <w:p w14:paraId="150E8AA2" w14:textId="4AA7DE14" w:rsidR="0006406C" w:rsidRPr="00EB452C" w:rsidRDefault="0006406C" w:rsidP="0006406C">
            <w:pPr>
              <w:pStyle w:val="TableData"/>
            </w:pPr>
            <w:r w:rsidRPr="00757C58">
              <w:rPr>
                <w:rFonts w:asciiTheme="minorHAnsi" w:hAnsiTheme="minorHAnsi" w:cstheme="minorHAnsi"/>
              </w:rPr>
              <w:t>2021-</w:t>
            </w:r>
            <w:r>
              <w:rPr>
                <w:rFonts w:asciiTheme="minorHAnsi" w:hAnsiTheme="minorHAnsi" w:cstheme="minorHAnsi"/>
              </w:rPr>
              <w:t>12</w:t>
            </w:r>
            <w:r w:rsidRPr="00757C58">
              <w:rPr>
                <w:rFonts w:asciiTheme="minorHAnsi" w:hAnsiTheme="minorHAnsi" w:cstheme="minorHAnsi"/>
              </w:rPr>
              <w:t>-</w:t>
            </w:r>
            <w:r>
              <w:rPr>
                <w:rFonts w:asciiTheme="minorHAnsi" w:hAnsiTheme="minorHAnsi" w:cstheme="minorHAnsi"/>
              </w:rPr>
              <w:t>21</w:t>
            </w:r>
          </w:p>
        </w:tc>
      </w:tr>
      <w:tr w:rsidR="0006406C" w14:paraId="7B514D14" w14:textId="77777777" w:rsidTr="006B1CB9">
        <w:tc>
          <w:tcPr>
            <w:tcW w:w="4111" w:type="dxa"/>
            <w:tcBorders>
              <w:top w:val="single" w:sz="8" w:space="0" w:color="4E88C7"/>
              <w:bottom w:val="single" w:sz="8" w:space="0" w:color="4E88C7"/>
            </w:tcBorders>
            <w:shd w:val="clear" w:color="auto" w:fill="auto"/>
            <w:tcMar>
              <w:left w:w="0" w:type="dxa"/>
            </w:tcMar>
          </w:tcPr>
          <w:p w14:paraId="7B132428" w14:textId="7906ECA0" w:rsidR="0006406C" w:rsidRPr="00757C58" w:rsidRDefault="0006406C" w:rsidP="0006406C">
            <w:pPr>
              <w:pStyle w:val="TableData"/>
              <w:rPr>
                <w:rFonts w:asciiTheme="minorHAnsi" w:hAnsiTheme="minorHAnsi" w:cstheme="minorHAnsi"/>
              </w:rPr>
            </w:pPr>
            <w:r w:rsidRPr="00757C58">
              <w:rPr>
                <w:rFonts w:asciiTheme="minorHAnsi" w:hAnsiTheme="minorHAnsi" w:cstheme="minorHAnsi"/>
              </w:rPr>
              <w:t>Giulia Cartocci</w:t>
            </w:r>
          </w:p>
        </w:tc>
        <w:tc>
          <w:tcPr>
            <w:tcW w:w="2616" w:type="dxa"/>
            <w:tcBorders>
              <w:top w:val="single" w:sz="8" w:space="0" w:color="4E88C7"/>
              <w:left w:val="nil"/>
              <w:bottom w:val="single" w:sz="8" w:space="0" w:color="4E88C7"/>
              <w:right w:val="nil"/>
            </w:tcBorders>
            <w:shd w:val="clear" w:color="auto" w:fill="auto"/>
          </w:tcPr>
          <w:p w14:paraId="285F0CAB" w14:textId="19B0B9C7" w:rsidR="0006406C" w:rsidRPr="00757C58" w:rsidRDefault="0006406C" w:rsidP="0006406C">
            <w:pPr>
              <w:pStyle w:val="TableData"/>
              <w:rPr>
                <w:rFonts w:asciiTheme="minorHAnsi" w:hAnsiTheme="minorHAnsi" w:cstheme="minorHAnsi"/>
              </w:rPr>
            </w:pPr>
            <w:r w:rsidRPr="00757C58">
              <w:rPr>
                <w:rFonts w:asciiTheme="minorHAnsi" w:hAnsiTheme="minorHAnsi" w:cstheme="minorHAnsi"/>
              </w:rPr>
              <w:t>PhD at UNISAP</w:t>
            </w:r>
          </w:p>
        </w:tc>
        <w:tc>
          <w:tcPr>
            <w:tcW w:w="2343" w:type="dxa"/>
            <w:tcBorders>
              <w:top w:val="single" w:sz="8" w:space="0" w:color="4E88C7"/>
              <w:bottom w:val="single" w:sz="8" w:space="0" w:color="4E88C7"/>
            </w:tcBorders>
            <w:shd w:val="clear" w:color="auto" w:fill="auto"/>
          </w:tcPr>
          <w:p w14:paraId="6175B298" w14:textId="2BD3C051" w:rsidR="0006406C" w:rsidRPr="00757C58" w:rsidRDefault="0006406C" w:rsidP="0006406C">
            <w:pPr>
              <w:pStyle w:val="TableData"/>
              <w:rPr>
                <w:rFonts w:asciiTheme="minorHAnsi" w:hAnsiTheme="minorHAnsi" w:cstheme="minorHAnsi"/>
              </w:rPr>
            </w:pPr>
            <w:r w:rsidRPr="00757C58">
              <w:rPr>
                <w:rFonts w:asciiTheme="minorHAnsi" w:hAnsiTheme="minorHAnsi" w:cstheme="minorHAnsi"/>
              </w:rPr>
              <w:t>202</w:t>
            </w:r>
            <w:r>
              <w:rPr>
                <w:rFonts w:asciiTheme="minorHAnsi" w:hAnsiTheme="minorHAnsi" w:cstheme="minorHAnsi"/>
              </w:rPr>
              <w:t>2</w:t>
            </w:r>
            <w:r w:rsidRPr="00757C58">
              <w:rPr>
                <w:rFonts w:asciiTheme="minorHAnsi" w:hAnsiTheme="minorHAnsi" w:cstheme="minorHAnsi"/>
              </w:rPr>
              <w:t>-</w:t>
            </w:r>
            <w:r>
              <w:rPr>
                <w:rFonts w:asciiTheme="minorHAnsi" w:hAnsiTheme="minorHAnsi" w:cstheme="minorHAnsi"/>
              </w:rPr>
              <w:t>01</w:t>
            </w:r>
            <w:r w:rsidRPr="00757C58">
              <w:rPr>
                <w:rFonts w:asciiTheme="minorHAnsi" w:hAnsiTheme="minorHAnsi" w:cstheme="minorHAnsi"/>
              </w:rPr>
              <w:t>-0</w:t>
            </w:r>
            <w:r>
              <w:rPr>
                <w:rFonts w:asciiTheme="minorHAnsi" w:hAnsiTheme="minorHAnsi" w:cstheme="minorHAnsi"/>
              </w:rPr>
              <w:t>5</w:t>
            </w:r>
          </w:p>
        </w:tc>
      </w:tr>
      <w:tr w:rsidR="0006406C" w14:paraId="719A1E3E" w14:textId="77777777" w:rsidTr="006B1CB9">
        <w:tc>
          <w:tcPr>
            <w:tcW w:w="4111" w:type="dxa"/>
            <w:tcBorders>
              <w:top w:val="single" w:sz="8" w:space="0" w:color="4E88C7"/>
              <w:bottom w:val="single" w:sz="8" w:space="0" w:color="4E88C7"/>
            </w:tcBorders>
            <w:shd w:val="clear" w:color="auto" w:fill="auto"/>
            <w:tcMar>
              <w:left w:w="0" w:type="dxa"/>
            </w:tcMar>
          </w:tcPr>
          <w:p w14:paraId="35F62DB5" w14:textId="40872244" w:rsidR="0006406C" w:rsidRPr="00757C58" w:rsidRDefault="0006406C" w:rsidP="0006406C">
            <w:pPr>
              <w:pStyle w:val="TableData"/>
              <w:rPr>
                <w:rFonts w:asciiTheme="minorHAnsi" w:hAnsiTheme="minorHAnsi" w:cstheme="minorHAnsi"/>
              </w:rPr>
            </w:pPr>
            <w:r>
              <w:rPr>
                <w:rFonts w:asciiTheme="minorHAnsi" w:hAnsiTheme="minorHAnsi" w:cstheme="minorBidi"/>
              </w:rPr>
              <w:t>Fabio Babiloni</w:t>
            </w:r>
          </w:p>
        </w:tc>
        <w:tc>
          <w:tcPr>
            <w:tcW w:w="2616" w:type="dxa"/>
            <w:tcBorders>
              <w:top w:val="single" w:sz="8" w:space="0" w:color="4E88C7"/>
              <w:left w:val="nil"/>
              <w:bottom w:val="single" w:sz="8" w:space="0" w:color="4E88C7"/>
              <w:right w:val="nil"/>
            </w:tcBorders>
            <w:shd w:val="clear" w:color="auto" w:fill="auto"/>
          </w:tcPr>
          <w:p w14:paraId="40444A5A" w14:textId="1B3A5A5B" w:rsidR="0006406C" w:rsidRPr="00757C58" w:rsidRDefault="0006406C" w:rsidP="0006406C">
            <w:pPr>
              <w:pStyle w:val="TableData"/>
              <w:rPr>
                <w:rFonts w:asciiTheme="minorHAnsi" w:hAnsiTheme="minorHAnsi" w:cstheme="minorHAnsi"/>
              </w:rPr>
            </w:pPr>
            <w:r>
              <w:rPr>
                <w:rFonts w:asciiTheme="minorHAnsi" w:hAnsiTheme="minorHAnsi" w:cstheme="minorBidi"/>
              </w:rPr>
              <w:t>Prof. at UNISAP</w:t>
            </w:r>
          </w:p>
        </w:tc>
        <w:tc>
          <w:tcPr>
            <w:tcW w:w="2343" w:type="dxa"/>
            <w:tcBorders>
              <w:top w:val="single" w:sz="8" w:space="0" w:color="4E88C7"/>
              <w:bottom w:val="single" w:sz="8" w:space="0" w:color="4E88C7"/>
            </w:tcBorders>
            <w:shd w:val="clear" w:color="auto" w:fill="auto"/>
          </w:tcPr>
          <w:p w14:paraId="16E5311F" w14:textId="28A90BC2" w:rsidR="0006406C" w:rsidRPr="00757C58" w:rsidRDefault="0006406C" w:rsidP="0006406C">
            <w:pPr>
              <w:pStyle w:val="TableData"/>
              <w:rPr>
                <w:rFonts w:asciiTheme="minorHAnsi" w:hAnsiTheme="minorHAnsi" w:cstheme="minorHAnsi"/>
              </w:rPr>
            </w:pPr>
            <w:r>
              <w:rPr>
                <w:rFonts w:asciiTheme="minorHAnsi" w:hAnsiTheme="minorHAnsi" w:cstheme="minorBidi"/>
              </w:rPr>
              <w:t>2022-01-06</w:t>
            </w:r>
          </w:p>
        </w:tc>
      </w:tr>
      <w:tr w:rsidR="0006406C" w14:paraId="2A923357" w14:textId="77777777" w:rsidTr="006B1CB9">
        <w:tc>
          <w:tcPr>
            <w:tcW w:w="4111" w:type="dxa"/>
            <w:tcBorders>
              <w:top w:val="single" w:sz="8" w:space="0" w:color="4E88C7"/>
              <w:bottom w:val="single" w:sz="8" w:space="0" w:color="4E88C7"/>
            </w:tcBorders>
            <w:shd w:val="clear" w:color="auto" w:fill="auto"/>
            <w:tcMar>
              <w:left w:w="0" w:type="dxa"/>
            </w:tcMar>
          </w:tcPr>
          <w:p w14:paraId="1F67926A" w14:textId="45C853E4" w:rsidR="0006406C" w:rsidRDefault="0006406C" w:rsidP="0006406C">
            <w:pPr>
              <w:pStyle w:val="TableData"/>
              <w:rPr>
                <w:rFonts w:asciiTheme="minorHAnsi" w:hAnsiTheme="minorHAnsi" w:cstheme="minorBidi"/>
              </w:rPr>
            </w:pPr>
            <w:r>
              <w:rPr>
                <w:rFonts w:asciiTheme="minorHAnsi" w:hAnsiTheme="minorHAnsi" w:cstheme="minorHAnsi"/>
              </w:rPr>
              <w:t>Gianluca Borghini</w:t>
            </w:r>
          </w:p>
        </w:tc>
        <w:tc>
          <w:tcPr>
            <w:tcW w:w="2616" w:type="dxa"/>
            <w:tcBorders>
              <w:top w:val="single" w:sz="8" w:space="0" w:color="4E88C7"/>
              <w:left w:val="nil"/>
              <w:bottom w:val="single" w:sz="8" w:space="0" w:color="4E88C7"/>
              <w:right w:val="nil"/>
            </w:tcBorders>
            <w:shd w:val="clear" w:color="auto" w:fill="auto"/>
          </w:tcPr>
          <w:p w14:paraId="6368B4D0" w14:textId="31473004" w:rsidR="0006406C" w:rsidRDefault="0006406C" w:rsidP="0006406C">
            <w:pPr>
              <w:pStyle w:val="TableData"/>
              <w:rPr>
                <w:rFonts w:asciiTheme="minorHAnsi" w:hAnsiTheme="minorHAnsi" w:cstheme="minorBidi"/>
              </w:rPr>
            </w:pPr>
            <w:r>
              <w:rPr>
                <w:rFonts w:asciiTheme="minorHAnsi" w:hAnsiTheme="minorHAnsi" w:cstheme="minorHAnsi"/>
              </w:rPr>
              <w:t>PhD at UNISAP</w:t>
            </w:r>
          </w:p>
        </w:tc>
        <w:tc>
          <w:tcPr>
            <w:tcW w:w="2343" w:type="dxa"/>
            <w:tcBorders>
              <w:top w:val="single" w:sz="8" w:space="0" w:color="4E88C7"/>
              <w:bottom w:val="single" w:sz="8" w:space="0" w:color="4E88C7"/>
            </w:tcBorders>
            <w:shd w:val="clear" w:color="auto" w:fill="auto"/>
          </w:tcPr>
          <w:p w14:paraId="42ED7444" w14:textId="1309C94C" w:rsidR="0006406C" w:rsidRDefault="0006406C" w:rsidP="0006406C">
            <w:pPr>
              <w:pStyle w:val="TableData"/>
              <w:rPr>
                <w:rFonts w:asciiTheme="minorHAnsi" w:hAnsiTheme="minorHAnsi" w:cstheme="minorBidi"/>
              </w:rPr>
            </w:pPr>
            <w:r>
              <w:rPr>
                <w:rFonts w:asciiTheme="minorHAnsi" w:hAnsiTheme="minorHAnsi" w:cstheme="minorBidi"/>
              </w:rPr>
              <w:t>2022-01-07</w:t>
            </w:r>
          </w:p>
        </w:tc>
      </w:tr>
      <w:tr w:rsidR="0006406C" w14:paraId="6E6641FB" w14:textId="77777777" w:rsidTr="006B1CB9">
        <w:tc>
          <w:tcPr>
            <w:tcW w:w="4111" w:type="dxa"/>
            <w:tcBorders>
              <w:top w:val="single" w:sz="8" w:space="0" w:color="4E88C7"/>
              <w:bottom w:val="single" w:sz="8" w:space="0" w:color="4E88C7"/>
            </w:tcBorders>
            <w:shd w:val="clear" w:color="auto" w:fill="auto"/>
            <w:tcMar>
              <w:left w:w="0" w:type="dxa"/>
            </w:tcMar>
          </w:tcPr>
          <w:p w14:paraId="40BBDEA1" w14:textId="63FE1F8F" w:rsidR="0006406C" w:rsidRDefault="0006406C" w:rsidP="0006406C">
            <w:pPr>
              <w:pStyle w:val="TableData"/>
              <w:rPr>
                <w:rFonts w:asciiTheme="minorHAnsi" w:hAnsiTheme="minorHAnsi" w:cstheme="minorHAnsi"/>
              </w:rPr>
            </w:pPr>
            <w:r>
              <w:rPr>
                <w:rFonts w:asciiTheme="minorHAnsi" w:hAnsiTheme="minorHAnsi" w:cstheme="minorHAnsi"/>
              </w:rPr>
              <w:t>Gianluca Di Flumeri</w:t>
            </w:r>
          </w:p>
        </w:tc>
        <w:tc>
          <w:tcPr>
            <w:tcW w:w="2616" w:type="dxa"/>
            <w:tcBorders>
              <w:top w:val="single" w:sz="8" w:space="0" w:color="4E88C7"/>
              <w:left w:val="nil"/>
              <w:bottom w:val="single" w:sz="8" w:space="0" w:color="4E88C7"/>
              <w:right w:val="nil"/>
            </w:tcBorders>
            <w:shd w:val="clear" w:color="auto" w:fill="auto"/>
          </w:tcPr>
          <w:p w14:paraId="025898B0" w14:textId="270DA803" w:rsidR="0006406C" w:rsidRDefault="0006406C" w:rsidP="0006406C">
            <w:pPr>
              <w:pStyle w:val="TableData"/>
              <w:rPr>
                <w:rFonts w:asciiTheme="minorHAnsi" w:hAnsiTheme="minorHAnsi" w:cstheme="minorHAnsi"/>
              </w:rPr>
            </w:pPr>
            <w:r>
              <w:rPr>
                <w:rFonts w:asciiTheme="minorHAnsi" w:hAnsiTheme="minorHAnsi" w:cstheme="minorHAnsi"/>
              </w:rPr>
              <w:t>PhD at UNISAP</w:t>
            </w:r>
          </w:p>
        </w:tc>
        <w:tc>
          <w:tcPr>
            <w:tcW w:w="2343" w:type="dxa"/>
            <w:tcBorders>
              <w:top w:val="single" w:sz="8" w:space="0" w:color="4E88C7"/>
              <w:bottom w:val="single" w:sz="8" w:space="0" w:color="4E88C7"/>
            </w:tcBorders>
            <w:shd w:val="clear" w:color="auto" w:fill="auto"/>
          </w:tcPr>
          <w:p w14:paraId="1BE65562" w14:textId="51F3469E" w:rsidR="0006406C" w:rsidRDefault="0006406C" w:rsidP="0006406C">
            <w:pPr>
              <w:pStyle w:val="TableData"/>
              <w:rPr>
                <w:rFonts w:asciiTheme="minorHAnsi" w:hAnsiTheme="minorHAnsi" w:cstheme="minorBidi"/>
              </w:rPr>
            </w:pPr>
            <w:r>
              <w:rPr>
                <w:rFonts w:asciiTheme="minorHAnsi" w:hAnsiTheme="minorHAnsi" w:cstheme="minorBidi"/>
              </w:rPr>
              <w:t>2022-01-07</w:t>
            </w:r>
          </w:p>
        </w:tc>
      </w:tr>
    </w:tbl>
    <w:p w14:paraId="32322EAF" w14:textId="77777777" w:rsidR="00C105BE" w:rsidRPr="007C4D0D" w:rsidRDefault="00C105BE" w:rsidP="00C105BE">
      <w:pPr>
        <w:pStyle w:val="NoSpacing"/>
        <w:jc w:val="left"/>
      </w:pPr>
    </w:p>
    <w:tbl>
      <w:tblPr>
        <w:tblW w:w="0" w:type="auto"/>
        <w:tblBorders>
          <w:top w:val="single" w:sz="8" w:space="0" w:color="4E88C7"/>
          <w:bottom w:val="single" w:sz="8" w:space="0" w:color="4E88C7"/>
        </w:tblBorders>
        <w:tblLook w:val="04A0" w:firstRow="1" w:lastRow="0" w:firstColumn="1" w:lastColumn="0" w:noHBand="0" w:noVBand="1"/>
      </w:tblPr>
      <w:tblGrid>
        <w:gridCol w:w="4111"/>
        <w:gridCol w:w="2616"/>
        <w:gridCol w:w="2343"/>
      </w:tblGrid>
      <w:tr w:rsidR="00C105BE" w14:paraId="0B8B440C" w14:textId="77777777" w:rsidTr="006B1CB9">
        <w:tc>
          <w:tcPr>
            <w:tcW w:w="9070" w:type="dxa"/>
            <w:gridSpan w:val="3"/>
            <w:tcBorders>
              <w:top w:val="nil"/>
              <w:bottom w:val="single" w:sz="8" w:space="0" w:color="4E88C7"/>
            </w:tcBorders>
            <w:shd w:val="clear" w:color="auto" w:fill="auto"/>
            <w:tcMar>
              <w:left w:w="0" w:type="dxa"/>
            </w:tcMar>
          </w:tcPr>
          <w:p w14:paraId="4A35C31E" w14:textId="77777777" w:rsidR="00C105BE" w:rsidRPr="00C06116" w:rsidRDefault="00C105BE" w:rsidP="006B1CB9">
            <w:pPr>
              <w:pStyle w:val="TableSubheader"/>
            </w:pPr>
            <w:r w:rsidRPr="00C06116">
              <w:t>Reviewers internal to the project</w:t>
            </w:r>
          </w:p>
        </w:tc>
      </w:tr>
      <w:tr w:rsidR="006871B3" w14:paraId="1F8F5000" w14:textId="77777777" w:rsidTr="006B1CB9">
        <w:tc>
          <w:tcPr>
            <w:tcW w:w="4111" w:type="dxa"/>
            <w:tcBorders>
              <w:bottom w:val="single" w:sz="8" w:space="0" w:color="4E88C7"/>
            </w:tcBorders>
            <w:shd w:val="clear" w:color="auto" w:fill="DBE7F3"/>
            <w:tcMar>
              <w:left w:w="0" w:type="dxa"/>
            </w:tcMar>
          </w:tcPr>
          <w:p w14:paraId="78BE3448" w14:textId="77777777" w:rsidR="006871B3" w:rsidRPr="00C06116" w:rsidRDefault="006871B3" w:rsidP="006871B3">
            <w:pPr>
              <w:pStyle w:val="TableData"/>
              <w:rPr>
                <w:b/>
              </w:rPr>
            </w:pPr>
            <w:r>
              <w:t>Name / Beneficiary</w:t>
            </w:r>
          </w:p>
        </w:tc>
        <w:tc>
          <w:tcPr>
            <w:tcW w:w="2616" w:type="dxa"/>
            <w:tcBorders>
              <w:left w:val="nil"/>
              <w:bottom w:val="single" w:sz="8" w:space="0" w:color="4E88C7"/>
              <w:right w:val="nil"/>
            </w:tcBorders>
            <w:shd w:val="clear" w:color="auto" w:fill="DBE7F3"/>
          </w:tcPr>
          <w:p w14:paraId="33E8A9A4" w14:textId="77777777" w:rsidR="006871B3" w:rsidRDefault="006871B3" w:rsidP="006871B3">
            <w:pPr>
              <w:pStyle w:val="TableData"/>
            </w:pPr>
            <w:r w:rsidRPr="007C4D0D">
              <w:t>Position</w:t>
            </w:r>
            <w:r>
              <w:t xml:space="preserve"> / </w:t>
            </w:r>
            <w:r w:rsidRPr="007C4D0D">
              <w:t>Title</w:t>
            </w:r>
          </w:p>
        </w:tc>
        <w:tc>
          <w:tcPr>
            <w:tcW w:w="2343" w:type="dxa"/>
            <w:tcBorders>
              <w:bottom w:val="single" w:sz="8" w:space="0" w:color="4E88C7"/>
            </w:tcBorders>
            <w:shd w:val="clear" w:color="auto" w:fill="DBE7F3"/>
          </w:tcPr>
          <w:p w14:paraId="7FC0B93D" w14:textId="77777777" w:rsidR="006871B3" w:rsidRPr="006940AC" w:rsidRDefault="006871B3" w:rsidP="006871B3">
            <w:pPr>
              <w:pStyle w:val="TableData"/>
            </w:pPr>
            <w:r w:rsidRPr="006940AC">
              <w:t>Date</w:t>
            </w:r>
          </w:p>
        </w:tc>
      </w:tr>
      <w:tr w:rsidR="0006406C" w14:paraId="6D8025E7" w14:textId="77777777" w:rsidTr="006B1CB9">
        <w:tc>
          <w:tcPr>
            <w:tcW w:w="4111" w:type="dxa"/>
            <w:tcBorders>
              <w:top w:val="single" w:sz="8" w:space="0" w:color="4E88C7"/>
              <w:bottom w:val="single" w:sz="8" w:space="0" w:color="4E88C7"/>
            </w:tcBorders>
            <w:shd w:val="clear" w:color="auto" w:fill="auto"/>
            <w:tcMar>
              <w:left w:w="0" w:type="dxa"/>
            </w:tcMar>
          </w:tcPr>
          <w:p w14:paraId="57FCC6C5" w14:textId="3C677762" w:rsidR="0006406C" w:rsidRPr="00C06116" w:rsidRDefault="0006406C" w:rsidP="0006406C">
            <w:pPr>
              <w:pStyle w:val="TableData"/>
            </w:pPr>
            <w:r w:rsidRPr="14A2C840">
              <w:rPr>
                <w:rFonts w:asciiTheme="minorHAnsi" w:hAnsiTheme="minorHAnsi" w:cstheme="minorBidi"/>
              </w:rPr>
              <w:t>Nicola Cavagnetto</w:t>
            </w:r>
          </w:p>
        </w:tc>
        <w:tc>
          <w:tcPr>
            <w:tcW w:w="2616" w:type="dxa"/>
            <w:tcBorders>
              <w:top w:val="single" w:sz="8" w:space="0" w:color="4E88C7"/>
              <w:bottom w:val="single" w:sz="8" w:space="0" w:color="4E88C7"/>
            </w:tcBorders>
            <w:shd w:val="clear" w:color="auto" w:fill="auto"/>
          </w:tcPr>
          <w:p w14:paraId="17626B4E" w14:textId="685BB48E" w:rsidR="0006406C" w:rsidRPr="00C06116" w:rsidRDefault="0006406C" w:rsidP="0006406C">
            <w:pPr>
              <w:pStyle w:val="TableData"/>
            </w:pPr>
            <w:r w:rsidRPr="14A2C840">
              <w:rPr>
                <w:rFonts w:asciiTheme="minorHAnsi" w:hAnsiTheme="minorHAnsi" w:cstheme="minorBidi"/>
              </w:rPr>
              <w:t>Project Contributor</w:t>
            </w:r>
          </w:p>
        </w:tc>
        <w:tc>
          <w:tcPr>
            <w:tcW w:w="2343" w:type="dxa"/>
            <w:tcBorders>
              <w:top w:val="single" w:sz="8" w:space="0" w:color="4E88C7"/>
              <w:bottom w:val="single" w:sz="8" w:space="0" w:color="4E88C7"/>
            </w:tcBorders>
            <w:shd w:val="clear" w:color="auto" w:fill="auto"/>
          </w:tcPr>
          <w:p w14:paraId="35BB4CDA" w14:textId="212A9024" w:rsidR="0006406C" w:rsidRPr="00C06116" w:rsidRDefault="0006406C" w:rsidP="0006406C">
            <w:pPr>
              <w:pStyle w:val="TableData"/>
            </w:pPr>
            <w:r w:rsidRPr="14A2C840">
              <w:rPr>
                <w:rFonts w:asciiTheme="minorHAnsi" w:hAnsiTheme="minorHAnsi" w:cstheme="minorBidi"/>
              </w:rPr>
              <w:t>2022-01-19</w:t>
            </w:r>
          </w:p>
        </w:tc>
      </w:tr>
      <w:tr w:rsidR="0006406C" w14:paraId="2DF6FEEC" w14:textId="77777777" w:rsidTr="006B1CB9">
        <w:tc>
          <w:tcPr>
            <w:tcW w:w="4111" w:type="dxa"/>
            <w:tcBorders>
              <w:top w:val="single" w:sz="8" w:space="0" w:color="4E88C7"/>
              <w:bottom w:val="single" w:sz="8" w:space="0" w:color="4E88C7"/>
            </w:tcBorders>
            <w:shd w:val="clear" w:color="auto" w:fill="auto"/>
            <w:tcMar>
              <w:left w:w="0" w:type="dxa"/>
            </w:tcMar>
          </w:tcPr>
          <w:p w14:paraId="683AFF88" w14:textId="78E885C6" w:rsidR="0006406C" w:rsidRPr="00C06116" w:rsidRDefault="0006406C" w:rsidP="0006406C">
            <w:pPr>
              <w:pStyle w:val="TableData"/>
            </w:pPr>
            <w:r w:rsidRPr="05EC64E9">
              <w:rPr>
                <w:rFonts w:asciiTheme="minorHAnsi" w:hAnsiTheme="minorHAnsi" w:cstheme="minorBidi"/>
              </w:rPr>
              <w:t xml:space="preserve">Minesh </w:t>
            </w:r>
            <w:r>
              <w:rPr>
                <w:rFonts w:asciiTheme="minorHAnsi" w:hAnsiTheme="minorHAnsi" w:cstheme="minorBidi"/>
              </w:rPr>
              <w:t>Poudel</w:t>
            </w:r>
          </w:p>
        </w:tc>
        <w:tc>
          <w:tcPr>
            <w:tcW w:w="2616" w:type="dxa"/>
            <w:tcBorders>
              <w:top w:val="single" w:sz="8" w:space="0" w:color="4E88C7"/>
              <w:left w:val="nil"/>
              <w:bottom w:val="single" w:sz="8" w:space="0" w:color="4E88C7"/>
              <w:right w:val="nil"/>
            </w:tcBorders>
            <w:shd w:val="clear" w:color="auto" w:fill="auto"/>
          </w:tcPr>
          <w:p w14:paraId="3A6A04E9" w14:textId="0B60EED3" w:rsidR="0006406C" w:rsidRPr="00C06116" w:rsidRDefault="0006406C" w:rsidP="0006406C">
            <w:pPr>
              <w:pStyle w:val="TableData"/>
            </w:pPr>
            <w:r w:rsidRPr="05EC64E9">
              <w:rPr>
                <w:rFonts w:asciiTheme="minorHAnsi" w:hAnsiTheme="minorHAnsi" w:cstheme="minorBidi"/>
              </w:rPr>
              <w:t>Senior Research Engineer</w:t>
            </w:r>
          </w:p>
        </w:tc>
        <w:tc>
          <w:tcPr>
            <w:tcW w:w="2343" w:type="dxa"/>
            <w:tcBorders>
              <w:top w:val="single" w:sz="8" w:space="0" w:color="4E88C7"/>
              <w:bottom w:val="single" w:sz="8" w:space="0" w:color="4E88C7"/>
            </w:tcBorders>
            <w:shd w:val="clear" w:color="auto" w:fill="auto"/>
          </w:tcPr>
          <w:p w14:paraId="104B25D4" w14:textId="20B6CBBA" w:rsidR="0006406C" w:rsidRPr="00C06116" w:rsidRDefault="0006406C" w:rsidP="0006406C">
            <w:pPr>
              <w:pStyle w:val="TableData"/>
            </w:pPr>
            <w:r>
              <w:rPr>
                <w:rFonts w:asciiTheme="minorHAnsi" w:hAnsiTheme="minorHAnsi" w:cstheme="minorHAnsi"/>
              </w:rPr>
              <w:t>2022-01-26</w:t>
            </w:r>
          </w:p>
        </w:tc>
      </w:tr>
      <w:tr w:rsidR="0006406C" w14:paraId="5D21336C" w14:textId="77777777" w:rsidTr="006B1CB9">
        <w:tc>
          <w:tcPr>
            <w:tcW w:w="4111" w:type="dxa"/>
            <w:tcBorders>
              <w:top w:val="single" w:sz="8" w:space="0" w:color="4E88C7"/>
              <w:bottom w:val="single" w:sz="8" w:space="0" w:color="4E88C7"/>
            </w:tcBorders>
            <w:shd w:val="clear" w:color="auto" w:fill="auto"/>
            <w:tcMar>
              <w:left w:w="0" w:type="dxa"/>
            </w:tcMar>
          </w:tcPr>
          <w:p w14:paraId="4ADB5A5A" w14:textId="5DBE8F79" w:rsidR="0006406C" w:rsidRPr="05EC64E9" w:rsidRDefault="0006406C" w:rsidP="0006406C">
            <w:pPr>
              <w:pStyle w:val="TableData"/>
              <w:rPr>
                <w:rFonts w:asciiTheme="minorHAnsi" w:hAnsiTheme="minorHAnsi" w:cstheme="minorBidi"/>
              </w:rPr>
            </w:pPr>
            <w:r w:rsidRPr="014E3828">
              <w:t>Hamidur Rahman</w:t>
            </w:r>
          </w:p>
        </w:tc>
        <w:tc>
          <w:tcPr>
            <w:tcW w:w="2616" w:type="dxa"/>
            <w:tcBorders>
              <w:top w:val="single" w:sz="8" w:space="0" w:color="4E88C7"/>
              <w:left w:val="nil"/>
              <w:bottom w:val="single" w:sz="8" w:space="0" w:color="4E88C7"/>
              <w:right w:val="nil"/>
            </w:tcBorders>
            <w:shd w:val="clear" w:color="auto" w:fill="auto"/>
          </w:tcPr>
          <w:p w14:paraId="5C260310" w14:textId="7292FB9B" w:rsidR="0006406C" w:rsidRPr="05EC64E9" w:rsidRDefault="0006406C" w:rsidP="0006406C">
            <w:pPr>
              <w:pStyle w:val="TableData"/>
              <w:rPr>
                <w:rFonts w:asciiTheme="minorHAnsi" w:hAnsiTheme="minorHAnsi" w:cstheme="minorBidi"/>
              </w:rPr>
            </w:pPr>
            <w:r w:rsidRPr="014E3828">
              <w:t xml:space="preserve">Researcher, MDU                                    </w:t>
            </w:r>
          </w:p>
        </w:tc>
        <w:tc>
          <w:tcPr>
            <w:tcW w:w="2343" w:type="dxa"/>
            <w:tcBorders>
              <w:top w:val="single" w:sz="8" w:space="0" w:color="4E88C7"/>
              <w:bottom w:val="single" w:sz="8" w:space="0" w:color="4E88C7"/>
            </w:tcBorders>
            <w:shd w:val="clear" w:color="auto" w:fill="auto"/>
          </w:tcPr>
          <w:p w14:paraId="39506AE2" w14:textId="0BCB63AC" w:rsidR="0006406C" w:rsidRDefault="0006406C" w:rsidP="0006406C">
            <w:pPr>
              <w:pStyle w:val="TableData"/>
              <w:rPr>
                <w:rFonts w:asciiTheme="minorHAnsi" w:hAnsiTheme="minorHAnsi" w:cstheme="minorHAnsi"/>
              </w:rPr>
            </w:pPr>
            <w:r w:rsidRPr="014E3828">
              <w:t>2022-01-24</w:t>
            </w:r>
          </w:p>
        </w:tc>
      </w:tr>
    </w:tbl>
    <w:p w14:paraId="779E7374" w14:textId="77777777" w:rsidR="00C105BE" w:rsidRDefault="00C105BE" w:rsidP="00C105BE">
      <w:pPr>
        <w:pStyle w:val="NoSpacing"/>
        <w:jc w:val="left"/>
      </w:pPr>
    </w:p>
    <w:tbl>
      <w:tblPr>
        <w:tblW w:w="0" w:type="auto"/>
        <w:tblBorders>
          <w:top w:val="single" w:sz="8" w:space="0" w:color="4E88C7"/>
          <w:bottom w:val="single" w:sz="8" w:space="0" w:color="4E88C7"/>
        </w:tblBorders>
        <w:tblLook w:val="04A0" w:firstRow="1" w:lastRow="0" w:firstColumn="1" w:lastColumn="0" w:noHBand="0" w:noVBand="1"/>
      </w:tblPr>
      <w:tblGrid>
        <w:gridCol w:w="4111"/>
        <w:gridCol w:w="2619"/>
        <w:gridCol w:w="2340"/>
      </w:tblGrid>
      <w:tr w:rsidR="00C105BE" w14:paraId="2C85D521" w14:textId="77777777" w:rsidTr="006B1CB9">
        <w:tc>
          <w:tcPr>
            <w:tcW w:w="9070" w:type="dxa"/>
            <w:gridSpan w:val="3"/>
            <w:tcBorders>
              <w:top w:val="nil"/>
              <w:bottom w:val="single" w:sz="8" w:space="0" w:color="4E88C7"/>
            </w:tcBorders>
            <w:shd w:val="clear" w:color="auto" w:fill="auto"/>
            <w:tcMar>
              <w:left w:w="0" w:type="dxa"/>
            </w:tcMar>
          </w:tcPr>
          <w:p w14:paraId="14C03389" w14:textId="77777777" w:rsidR="00C105BE" w:rsidRPr="00C06116" w:rsidRDefault="00C105BE" w:rsidP="006B1CB9">
            <w:pPr>
              <w:pStyle w:val="TableSubheader"/>
            </w:pPr>
            <w:r>
              <w:t>Reviewers ex</w:t>
            </w:r>
            <w:r w:rsidRPr="00C06116">
              <w:t>ternal to the project</w:t>
            </w:r>
          </w:p>
        </w:tc>
      </w:tr>
      <w:tr w:rsidR="006871B3" w14:paraId="20633E1F" w14:textId="77777777" w:rsidTr="006B1CB9">
        <w:tc>
          <w:tcPr>
            <w:tcW w:w="4111" w:type="dxa"/>
            <w:tcBorders>
              <w:bottom w:val="single" w:sz="8" w:space="0" w:color="4E88C7"/>
            </w:tcBorders>
            <w:shd w:val="clear" w:color="auto" w:fill="DBE7F3"/>
            <w:tcMar>
              <w:left w:w="0" w:type="dxa"/>
            </w:tcMar>
          </w:tcPr>
          <w:p w14:paraId="254E1BF8" w14:textId="77777777" w:rsidR="006871B3" w:rsidRPr="00C06116" w:rsidRDefault="006871B3" w:rsidP="006871B3">
            <w:pPr>
              <w:pStyle w:val="TableData"/>
              <w:rPr>
                <w:b/>
              </w:rPr>
            </w:pPr>
            <w:r>
              <w:t>Name / Beneficiary</w:t>
            </w:r>
          </w:p>
        </w:tc>
        <w:tc>
          <w:tcPr>
            <w:tcW w:w="2619" w:type="dxa"/>
            <w:tcBorders>
              <w:left w:val="nil"/>
              <w:bottom w:val="single" w:sz="8" w:space="0" w:color="4E88C7"/>
              <w:right w:val="nil"/>
            </w:tcBorders>
            <w:shd w:val="clear" w:color="auto" w:fill="DBE7F3"/>
          </w:tcPr>
          <w:p w14:paraId="4093CFC9" w14:textId="77777777" w:rsidR="006871B3" w:rsidRDefault="006871B3" w:rsidP="006871B3">
            <w:pPr>
              <w:pStyle w:val="TableData"/>
            </w:pPr>
            <w:r w:rsidRPr="007C4D0D">
              <w:t>Position</w:t>
            </w:r>
            <w:r>
              <w:t xml:space="preserve"> / </w:t>
            </w:r>
            <w:r w:rsidRPr="007C4D0D">
              <w:t>Title</w:t>
            </w:r>
          </w:p>
        </w:tc>
        <w:tc>
          <w:tcPr>
            <w:tcW w:w="2340" w:type="dxa"/>
            <w:tcBorders>
              <w:bottom w:val="single" w:sz="8" w:space="0" w:color="4E88C7"/>
            </w:tcBorders>
            <w:shd w:val="clear" w:color="auto" w:fill="DBE7F3"/>
          </w:tcPr>
          <w:p w14:paraId="019731EF" w14:textId="77777777" w:rsidR="006871B3" w:rsidRPr="006940AC" w:rsidRDefault="006871B3" w:rsidP="006871B3">
            <w:pPr>
              <w:pStyle w:val="TableData"/>
            </w:pPr>
            <w:r w:rsidRPr="006940AC">
              <w:t>Date</w:t>
            </w:r>
          </w:p>
        </w:tc>
      </w:tr>
      <w:tr w:rsidR="00C105BE" w14:paraId="0DA0C95B" w14:textId="77777777" w:rsidTr="006B1CB9">
        <w:tc>
          <w:tcPr>
            <w:tcW w:w="4111" w:type="dxa"/>
            <w:tcBorders>
              <w:top w:val="single" w:sz="8" w:space="0" w:color="4E88C7"/>
              <w:bottom w:val="single" w:sz="8" w:space="0" w:color="4E88C7"/>
            </w:tcBorders>
            <w:shd w:val="clear" w:color="auto" w:fill="auto"/>
            <w:tcMar>
              <w:left w:w="0" w:type="dxa"/>
            </w:tcMar>
          </w:tcPr>
          <w:p w14:paraId="1A52E9C1" w14:textId="77777777" w:rsidR="00C105BE" w:rsidRPr="00C06116" w:rsidRDefault="00C105BE" w:rsidP="006B1CB9">
            <w:pPr>
              <w:pStyle w:val="TableData"/>
            </w:pPr>
          </w:p>
        </w:tc>
        <w:tc>
          <w:tcPr>
            <w:tcW w:w="2619" w:type="dxa"/>
            <w:tcBorders>
              <w:top w:val="single" w:sz="8" w:space="0" w:color="4E88C7"/>
              <w:bottom w:val="single" w:sz="8" w:space="0" w:color="4E88C7"/>
            </w:tcBorders>
            <w:shd w:val="clear" w:color="auto" w:fill="auto"/>
          </w:tcPr>
          <w:p w14:paraId="79DE62D2" w14:textId="77777777" w:rsidR="00C105BE" w:rsidRPr="00C06116" w:rsidRDefault="00C105BE" w:rsidP="006B1CB9">
            <w:pPr>
              <w:pStyle w:val="TableData"/>
            </w:pPr>
          </w:p>
        </w:tc>
        <w:tc>
          <w:tcPr>
            <w:tcW w:w="2340" w:type="dxa"/>
            <w:tcBorders>
              <w:top w:val="single" w:sz="8" w:space="0" w:color="4E88C7"/>
              <w:bottom w:val="single" w:sz="8" w:space="0" w:color="4E88C7"/>
            </w:tcBorders>
            <w:shd w:val="clear" w:color="auto" w:fill="auto"/>
          </w:tcPr>
          <w:p w14:paraId="63820258" w14:textId="77777777" w:rsidR="00C105BE" w:rsidRPr="00C06116" w:rsidRDefault="00C105BE" w:rsidP="006B1CB9">
            <w:pPr>
              <w:pStyle w:val="TableData"/>
            </w:pPr>
          </w:p>
        </w:tc>
      </w:tr>
      <w:tr w:rsidR="00C105BE" w14:paraId="233D94DF" w14:textId="77777777" w:rsidTr="006B1CB9">
        <w:tc>
          <w:tcPr>
            <w:tcW w:w="4111" w:type="dxa"/>
            <w:tcBorders>
              <w:top w:val="single" w:sz="8" w:space="0" w:color="4E88C7"/>
              <w:bottom w:val="single" w:sz="8" w:space="0" w:color="4E88C7"/>
            </w:tcBorders>
            <w:shd w:val="clear" w:color="auto" w:fill="auto"/>
            <w:tcMar>
              <w:left w:w="0" w:type="dxa"/>
            </w:tcMar>
          </w:tcPr>
          <w:p w14:paraId="6C59644C" w14:textId="77777777" w:rsidR="00C105BE" w:rsidRPr="00C06116" w:rsidRDefault="00C105BE" w:rsidP="006B1CB9">
            <w:pPr>
              <w:pStyle w:val="TableData"/>
            </w:pPr>
          </w:p>
        </w:tc>
        <w:tc>
          <w:tcPr>
            <w:tcW w:w="2619" w:type="dxa"/>
            <w:tcBorders>
              <w:top w:val="single" w:sz="8" w:space="0" w:color="4E88C7"/>
              <w:left w:val="nil"/>
              <w:bottom w:val="single" w:sz="8" w:space="0" w:color="4E88C7"/>
              <w:right w:val="nil"/>
            </w:tcBorders>
            <w:shd w:val="clear" w:color="auto" w:fill="auto"/>
          </w:tcPr>
          <w:p w14:paraId="3C69B950" w14:textId="77777777" w:rsidR="00C105BE" w:rsidRPr="00C06116" w:rsidRDefault="00C105BE" w:rsidP="006B1CB9">
            <w:pPr>
              <w:pStyle w:val="TableData"/>
            </w:pPr>
          </w:p>
        </w:tc>
        <w:tc>
          <w:tcPr>
            <w:tcW w:w="2340" w:type="dxa"/>
            <w:tcBorders>
              <w:top w:val="single" w:sz="8" w:space="0" w:color="4E88C7"/>
              <w:bottom w:val="single" w:sz="8" w:space="0" w:color="4E88C7"/>
            </w:tcBorders>
            <w:shd w:val="clear" w:color="auto" w:fill="auto"/>
          </w:tcPr>
          <w:p w14:paraId="3EF6F5B9" w14:textId="77777777" w:rsidR="00C105BE" w:rsidRPr="00C06116" w:rsidRDefault="00C105BE" w:rsidP="006B1CB9">
            <w:pPr>
              <w:pStyle w:val="TableData"/>
            </w:pPr>
          </w:p>
        </w:tc>
      </w:tr>
      <w:tr w:rsidR="00C105BE" w14:paraId="65753317" w14:textId="77777777" w:rsidTr="006B1CB9">
        <w:tc>
          <w:tcPr>
            <w:tcW w:w="9070" w:type="dxa"/>
            <w:gridSpan w:val="3"/>
            <w:tcBorders>
              <w:top w:val="nil"/>
              <w:bottom w:val="single" w:sz="8" w:space="0" w:color="4E88C7"/>
            </w:tcBorders>
            <w:shd w:val="clear" w:color="auto" w:fill="auto"/>
            <w:tcMar>
              <w:left w:w="0" w:type="dxa"/>
            </w:tcMar>
          </w:tcPr>
          <w:p w14:paraId="0C85009D" w14:textId="77777777" w:rsidR="00C105BE" w:rsidRPr="00C06116" w:rsidRDefault="00C105BE" w:rsidP="006B1CB9">
            <w:pPr>
              <w:pStyle w:val="TableSubheader"/>
            </w:pPr>
            <w:r w:rsidRPr="00C06116">
              <w:t xml:space="preserve">Approved for submission to the SJU By </w:t>
            </w:r>
            <w:r>
              <w:t>- Representatives of all beneficiaries</w:t>
            </w:r>
            <w:r w:rsidRPr="00C06116">
              <w:t xml:space="preserve"> involved in the project</w:t>
            </w:r>
          </w:p>
        </w:tc>
      </w:tr>
      <w:tr w:rsidR="006871B3" w14:paraId="69407F1D" w14:textId="77777777" w:rsidTr="006B1CB9">
        <w:tc>
          <w:tcPr>
            <w:tcW w:w="4111" w:type="dxa"/>
            <w:tcBorders>
              <w:bottom w:val="single" w:sz="4" w:space="0" w:color="4E88C7"/>
            </w:tcBorders>
            <w:shd w:val="clear" w:color="auto" w:fill="DBE7F3"/>
            <w:tcMar>
              <w:left w:w="0" w:type="dxa"/>
            </w:tcMar>
          </w:tcPr>
          <w:p w14:paraId="5C35F210" w14:textId="77777777" w:rsidR="006871B3" w:rsidRPr="00C06116" w:rsidRDefault="006871B3" w:rsidP="006871B3">
            <w:pPr>
              <w:pStyle w:val="TableData"/>
              <w:rPr>
                <w:b/>
              </w:rPr>
            </w:pPr>
            <w:r>
              <w:t>Name / Beneficiary</w:t>
            </w:r>
          </w:p>
        </w:tc>
        <w:tc>
          <w:tcPr>
            <w:tcW w:w="2619" w:type="dxa"/>
            <w:tcBorders>
              <w:left w:val="nil"/>
              <w:bottom w:val="single" w:sz="4" w:space="0" w:color="4E88C7"/>
              <w:right w:val="nil"/>
            </w:tcBorders>
            <w:shd w:val="clear" w:color="auto" w:fill="DBE7F3"/>
          </w:tcPr>
          <w:p w14:paraId="1C94418E" w14:textId="77777777" w:rsidR="006871B3" w:rsidRDefault="006871B3" w:rsidP="006871B3">
            <w:pPr>
              <w:pStyle w:val="TableData"/>
            </w:pPr>
            <w:r w:rsidRPr="007C4D0D">
              <w:t>Position</w:t>
            </w:r>
            <w:r>
              <w:t xml:space="preserve"> / </w:t>
            </w:r>
            <w:r w:rsidRPr="007C4D0D">
              <w:t>Title</w:t>
            </w:r>
          </w:p>
        </w:tc>
        <w:tc>
          <w:tcPr>
            <w:tcW w:w="2340" w:type="dxa"/>
            <w:tcBorders>
              <w:bottom w:val="single" w:sz="4" w:space="0" w:color="4E88C7"/>
            </w:tcBorders>
            <w:shd w:val="clear" w:color="auto" w:fill="DBE7F3"/>
          </w:tcPr>
          <w:p w14:paraId="7EA3B415" w14:textId="77777777" w:rsidR="006871B3" w:rsidRPr="007C4D0D" w:rsidRDefault="006871B3" w:rsidP="006871B3">
            <w:pPr>
              <w:pStyle w:val="TableData"/>
            </w:pPr>
            <w:r w:rsidRPr="007C4D0D">
              <w:t>Date</w:t>
            </w:r>
          </w:p>
        </w:tc>
      </w:tr>
      <w:tr w:rsidR="0006406C" w14:paraId="6EC13AD3" w14:textId="77777777" w:rsidTr="006B1CB9">
        <w:tc>
          <w:tcPr>
            <w:tcW w:w="4111" w:type="dxa"/>
            <w:tcBorders>
              <w:top w:val="single" w:sz="4" w:space="0" w:color="4E88C7"/>
              <w:bottom w:val="single" w:sz="4" w:space="0" w:color="4E88C7"/>
            </w:tcBorders>
            <w:shd w:val="clear" w:color="auto" w:fill="auto"/>
            <w:tcMar>
              <w:left w:w="0" w:type="dxa"/>
            </w:tcMar>
          </w:tcPr>
          <w:p w14:paraId="6A59748B" w14:textId="0264EC3D" w:rsidR="0006406C" w:rsidRPr="00C06116" w:rsidRDefault="0006406C" w:rsidP="0006406C">
            <w:pPr>
              <w:pStyle w:val="TableData"/>
            </w:pPr>
            <w:r>
              <w:t>Mobyen Uddin Ahmed</w:t>
            </w:r>
          </w:p>
        </w:tc>
        <w:tc>
          <w:tcPr>
            <w:tcW w:w="2619" w:type="dxa"/>
            <w:tcBorders>
              <w:top w:val="single" w:sz="4" w:space="0" w:color="4E88C7"/>
              <w:bottom w:val="single" w:sz="4" w:space="0" w:color="4E88C7"/>
            </w:tcBorders>
            <w:shd w:val="clear" w:color="auto" w:fill="auto"/>
          </w:tcPr>
          <w:p w14:paraId="04D8DFC0" w14:textId="74C785C5" w:rsidR="0006406C" w:rsidRPr="00C06116" w:rsidRDefault="0006406C" w:rsidP="0006406C">
            <w:pPr>
              <w:pStyle w:val="TableData"/>
            </w:pPr>
            <w:r>
              <w:t>Coordinator/MDH</w:t>
            </w:r>
          </w:p>
        </w:tc>
        <w:tc>
          <w:tcPr>
            <w:tcW w:w="2340" w:type="dxa"/>
            <w:tcBorders>
              <w:top w:val="single" w:sz="4" w:space="0" w:color="4E88C7"/>
              <w:bottom w:val="single" w:sz="4" w:space="0" w:color="4E88C7"/>
            </w:tcBorders>
            <w:shd w:val="clear" w:color="auto" w:fill="auto"/>
          </w:tcPr>
          <w:p w14:paraId="0F0C87C5" w14:textId="2563DDD1" w:rsidR="0006406C" w:rsidRPr="00C06116" w:rsidRDefault="0006406C" w:rsidP="0006406C">
            <w:pPr>
              <w:pStyle w:val="TableData"/>
            </w:pPr>
            <w:r>
              <w:t>2022-01-28</w:t>
            </w:r>
          </w:p>
        </w:tc>
      </w:tr>
      <w:tr w:rsidR="0006406C" w14:paraId="1C5C3856" w14:textId="77777777" w:rsidTr="006B1CB9">
        <w:tc>
          <w:tcPr>
            <w:tcW w:w="4111" w:type="dxa"/>
            <w:tcBorders>
              <w:top w:val="single" w:sz="4" w:space="0" w:color="4E88C7"/>
              <w:bottom w:val="single" w:sz="8" w:space="0" w:color="4E88C7"/>
            </w:tcBorders>
            <w:shd w:val="clear" w:color="auto" w:fill="auto"/>
            <w:tcMar>
              <w:left w:w="0" w:type="dxa"/>
            </w:tcMar>
          </w:tcPr>
          <w:p w14:paraId="05FA9B94" w14:textId="03416017" w:rsidR="0006406C" w:rsidRPr="00C06116" w:rsidRDefault="0006406C" w:rsidP="0006406C">
            <w:pPr>
              <w:pStyle w:val="TableData"/>
            </w:pPr>
            <w:r w:rsidRPr="1991DEF8">
              <w:t>Christophe Hurter</w:t>
            </w:r>
          </w:p>
        </w:tc>
        <w:tc>
          <w:tcPr>
            <w:tcW w:w="2619" w:type="dxa"/>
            <w:tcBorders>
              <w:top w:val="single" w:sz="4" w:space="0" w:color="4E88C7"/>
              <w:left w:val="nil"/>
              <w:bottom w:val="single" w:sz="8" w:space="0" w:color="4E88C7"/>
              <w:right w:val="nil"/>
            </w:tcBorders>
            <w:shd w:val="clear" w:color="auto" w:fill="auto"/>
          </w:tcPr>
          <w:p w14:paraId="7A2F3808" w14:textId="7E0FF891" w:rsidR="0006406C" w:rsidRPr="00C06116" w:rsidRDefault="0006406C" w:rsidP="0006406C">
            <w:pPr>
              <w:pStyle w:val="TableData"/>
            </w:pPr>
            <w:r w:rsidRPr="1991DEF8">
              <w:t>Prof at ENAC</w:t>
            </w:r>
          </w:p>
        </w:tc>
        <w:tc>
          <w:tcPr>
            <w:tcW w:w="2340" w:type="dxa"/>
            <w:tcBorders>
              <w:top w:val="single" w:sz="4" w:space="0" w:color="4E88C7"/>
              <w:bottom w:val="single" w:sz="8" w:space="0" w:color="4E88C7"/>
            </w:tcBorders>
            <w:shd w:val="clear" w:color="auto" w:fill="auto"/>
          </w:tcPr>
          <w:p w14:paraId="00857EC0" w14:textId="45BFC4F2" w:rsidR="0006406C" w:rsidRPr="00C06116" w:rsidRDefault="0006406C" w:rsidP="0006406C">
            <w:pPr>
              <w:pStyle w:val="TableData"/>
            </w:pPr>
            <w:r>
              <w:t>2022-01-28</w:t>
            </w:r>
          </w:p>
        </w:tc>
      </w:tr>
      <w:tr w:rsidR="0006406C" w14:paraId="4EBEB495" w14:textId="77777777" w:rsidTr="006B1CB9">
        <w:tc>
          <w:tcPr>
            <w:tcW w:w="4111" w:type="dxa"/>
            <w:tcBorders>
              <w:top w:val="single" w:sz="4" w:space="0" w:color="4E88C7"/>
              <w:bottom w:val="single" w:sz="8" w:space="0" w:color="4E88C7"/>
            </w:tcBorders>
            <w:shd w:val="clear" w:color="auto" w:fill="auto"/>
            <w:tcMar>
              <w:left w:w="0" w:type="dxa"/>
            </w:tcMar>
          </w:tcPr>
          <w:p w14:paraId="480FB301" w14:textId="0522A4EE" w:rsidR="0006406C" w:rsidRPr="1991DEF8" w:rsidRDefault="0006406C" w:rsidP="0006406C">
            <w:pPr>
              <w:pStyle w:val="TableData"/>
            </w:pPr>
            <w:r>
              <w:t>Fabio Babiloni</w:t>
            </w:r>
          </w:p>
        </w:tc>
        <w:tc>
          <w:tcPr>
            <w:tcW w:w="2619" w:type="dxa"/>
            <w:tcBorders>
              <w:top w:val="single" w:sz="4" w:space="0" w:color="4E88C7"/>
              <w:left w:val="nil"/>
              <w:bottom w:val="single" w:sz="8" w:space="0" w:color="4E88C7"/>
              <w:right w:val="nil"/>
            </w:tcBorders>
            <w:shd w:val="clear" w:color="auto" w:fill="auto"/>
          </w:tcPr>
          <w:p w14:paraId="1D5314FE" w14:textId="1D1DE80C" w:rsidR="0006406C" w:rsidRPr="1991DEF8" w:rsidRDefault="0006406C" w:rsidP="0006406C">
            <w:pPr>
              <w:pStyle w:val="TableData"/>
            </w:pPr>
            <w:r>
              <w:t>Full Prof. at UNISAP</w:t>
            </w:r>
          </w:p>
        </w:tc>
        <w:tc>
          <w:tcPr>
            <w:tcW w:w="2340" w:type="dxa"/>
            <w:tcBorders>
              <w:top w:val="single" w:sz="4" w:space="0" w:color="4E88C7"/>
              <w:bottom w:val="single" w:sz="8" w:space="0" w:color="4E88C7"/>
            </w:tcBorders>
            <w:shd w:val="clear" w:color="auto" w:fill="auto"/>
          </w:tcPr>
          <w:p w14:paraId="17590FC5" w14:textId="1F5BE6EF" w:rsidR="0006406C" w:rsidRDefault="0006406C" w:rsidP="0006406C">
            <w:pPr>
              <w:pStyle w:val="TableData"/>
            </w:pPr>
            <w:r>
              <w:t>2022-01-28</w:t>
            </w:r>
          </w:p>
        </w:tc>
      </w:tr>
      <w:tr w:rsidR="0006406C" w14:paraId="1E8BEF0D" w14:textId="77777777" w:rsidTr="006B1CB9">
        <w:tc>
          <w:tcPr>
            <w:tcW w:w="4111" w:type="dxa"/>
            <w:tcBorders>
              <w:top w:val="single" w:sz="4" w:space="0" w:color="4E88C7"/>
              <w:bottom w:val="single" w:sz="8" w:space="0" w:color="4E88C7"/>
            </w:tcBorders>
            <w:shd w:val="clear" w:color="auto" w:fill="auto"/>
            <w:tcMar>
              <w:left w:w="0" w:type="dxa"/>
            </w:tcMar>
          </w:tcPr>
          <w:p w14:paraId="5C26B08A" w14:textId="795E881B" w:rsidR="0006406C" w:rsidRDefault="0006406C" w:rsidP="0006406C">
            <w:pPr>
              <w:pStyle w:val="TableData"/>
            </w:pPr>
            <w:r>
              <w:t>Stefano Bonelli</w:t>
            </w:r>
          </w:p>
        </w:tc>
        <w:tc>
          <w:tcPr>
            <w:tcW w:w="2619" w:type="dxa"/>
            <w:tcBorders>
              <w:top w:val="single" w:sz="4" w:space="0" w:color="4E88C7"/>
              <w:left w:val="nil"/>
              <w:bottom w:val="single" w:sz="8" w:space="0" w:color="4E88C7"/>
              <w:right w:val="nil"/>
            </w:tcBorders>
            <w:shd w:val="clear" w:color="auto" w:fill="auto"/>
          </w:tcPr>
          <w:p w14:paraId="534F944B" w14:textId="3A987177" w:rsidR="0006406C" w:rsidRDefault="0006406C" w:rsidP="0006406C">
            <w:pPr>
              <w:pStyle w:val="TableData"/>
            </w:pPr>
            <w:r>
              <w:t>Deep Blue</w:t>
            </w:r>
          </w:p>
        </w:tc>
        <w:tc>
          <w:tcPr>
            <w:tcW w:w="2340" w:type="dxa"/>
            <w:tcBorders>
              <w:top w:val="single" w:sz="4" w:space="0" w:color="4E88C7"/>
              <w:bottom w:val="single" w:sz="8" w:space="0" w:color="4E88C7"/>
            </w:tcBorders>
            <w:shd w:val="clear" w:color="auto" w:fill="auto"/>
          </w:tcPr>
          <w:p w14:paraId="2EF8EC3F" w14:textId="0545AD3D" w:rsidR="0006406C" w:rsidRDefault="0006406C" w:rsidP="0006406C">
            <w:pPr>
              <w:pStyle w:val="TableData"/>
            </w:pPr>
            <w:r>
              <w:t>2022-01-28</w:t>
            </w:r>
          </w:p>
        </w:tc>
      </w:tr>
    </w:tbl>
    <w:p w14:paraId="18E9F1A5" w14:textId="77777777" w:rsidR="00C105BE" w:rsidRPr="007C4D0D" w:rsidRDefault="00C105BE" w:rsidP="00C105BE">
      <w:pPr>
        <w:pStyle w:val="NoSpacing"/>
        <w:jc w:val="left"/>
      </w:pPr>
    </w:p>
    <w:tbl>
      <w:tblPr>
        <w:tblW w:w="0" w:type="auto"/>
        <w:tblBorders>
          <w:top w:val="single" w:sz="8" w:space="0" w:color="4E88C7"/>
          <w:bottom w:val="single" w:sz="8" w:space="0" w:color="4E88C7"/>
        </w:tblBorders>
        <w:tblLook w:val="04A0" w:firstRow="1" w:lastRow="0" w:firstColumn="1" w:lastColumn="0" w:noHBand="0" w:noVBand="1"/>
      </w:tblPr>
      <w:tblGrid>
        <w:gridCol w:w="4111"/>
        <w:gridCol w:w="2584"/>
        <w:gridCol w:w="2331"/>
      </w:tblGrid>
      <w:tr w:rsidR="00C105BE" w14:paraId="1C7A313B" w14:textId="77777777" w:rsidTr="006B1CB9">
        <w:tc>
          <w:tcPr>
            <w:tcW w:w="9026" w:type="dxa"/>
            <w:gridSpan w:val="3"/>
            <w:tcBorders>
              <w:top w:val="nil"/>
              <w:bottom w:val="single" w:sz="4" w:space="0" w:color="4E88C7"/>
            </w:tcBorders>
            <w:shd w:val="clear" w:color="auto" w:fill="auto"/>
            <w:tcMar>
              <w:left w:w="0" w:type="dxa"/>
            </w:tcMar>
          </w:tcPr>
          <w:p w14:paraId="61E800F9" w14:textId="77777777" w:rsidR="00C105BE" w:rsidRPr="00C06116" w:rsidRDefault="00C105BE" w:rsidP="006B1CB9">
            <w:pPr>
              <w:pStyle w:val="TableSubheader"/>
            </w:pPr>
            <w:r w:rsidRPr="00C06116">
              <w:t xml:space="preserve">Rejected By - Representatives of </w:t>
            </w:r>
            <w:r>
              <w:t>beneficiaries</w:t>
            </w:r>
            <w:r w:rsidRPr="00C06116">
              <w:t xml:space="preserve"> involved in the project</w:t>
            </w:r>
          </w:p>
        </w:tc>
      </w:tr>
      <w:tr w:rsidR="006871B3" w14:paraId="3A0D1447" w14:textId="77777777" w:rsidTr="006B1CB9">
        <w:tc>
          <w:tcPr>
            <w:tcW w:w="4111" w:type="dxa"/>
            <w:tcBorders>
              <w:top w:val="single" w:sz="4" w:space="0" w:color="4E88C7"/>
              <w:bottom w:val="single" w:sz="4" w:space="0" w:color="4E88C7"/>
            </w:tcBorders>
            <w:shd w:val="clear" w:color="auto" w:fill="DBE7F3"/>
            <w:tcMar>
              <w:left w:w="0" w:type="dxa"/>
            </w:tcMar>
          </w:tcPr>
          <w:p w14:paraId="16BF5B49" w14:textId="77777777" w:rsidR="006871B3" w:rsidRPr="00C06116" w:rsidRDefault="006871B3" w:rsidP="006871B3">
            <w:pPr>
              <w:pStyle w:val="TableData"/>
              <w:rPr>
                <w:b/>
              </w:rPr>
            </w:pPr>
            <w:r>
              <w:t>Name and/or Beneficiary</w:t>
            </w:r>
          </w:p>
        </w:tc>
        <w:tc>
          <w:tcPr>
            <w:tcW w:w="2584" w:type="dxa"/>
            <w:tcBorders>
              <w:top w:val="single" w:sz="4" w:space="0" w:color="4E88C7"/>
              <w:left w:val="nil"/>
              <w:bottom w:val="single" w:sz="4" w:space="0" w:color="4E88C7"/>
              <w:right w:val="nil"/>
            </w:tcBorders>
            <w:shd w:val="clear" w:color="auto" w:fill="DBE7F3"/>
          </w:tcPr>
          <w:p w14:paraId="461DB17F" w14:textId="77777777" w:rsidR="006871B3" w:rsidRDefault="006871B3" w:rsidP="006871B3">
            <w:pPr>
              <w:pStyle w:val="TableData"/>
            </w:pPr>
            <w:r w:rsidRPr="007C4D0D">
              <w:t>Position</w:t>
            </w:r>
            <w:r>
              <w:t xml:space="preserve"> / </w:t>
            </w:r>
            <w:r w:rsidRPr="007C4D0D">
              <w:t>Title</w:t>
            </w:r>
          </w:p>
        </w:tc>
        <w:tc>
          <w:tcPr>
            <w:tcW w:w="2331" w:type="dxa"/>
            <w:tcBorders>
              <w:top w:val="single" w:sz="4" w:space="0" w:color="4E88C7"/>
              <w:bottom w:val="single" w:sz="4" w:space="0" w:color="4E88C7"/>
            </w:tcBorders>
            <w:shd w:val="clear" w:color="auto" w:fill="DBE7F3"/>
          </w:tcPr>
          <w:p w14:paraId="7C2F34E4" w14:textId="77777777" w:rsidR="006871B3" w:rsidRPr="00C06116" w:rsidRDefault="006871B3" w:rsidP="006871B3">
            <w:pPr>
              <w:pStyle w:val="TableData"/>
              <w:rPr>
                <w:b/>
              </w:rPr>
            </w:pPr>
            <w:r w:rsidRPr="007C4D0D">
              <w:t>Date</w:t>
            </w:r>
          </w:p>
        </w:tc>
      </w:tr>
      <w:tr w:rsidR="00C105BE" w14:paraId="3E510043" w14:textId="77777777" w:rsidTr="006B1CB9">
        <w:tc>
          <w:tcPr>
            <w:tcW w:w="4111" w:type="dxa"/>
            <w:tcBorders>
              <w:top w:val="single" w:sz="4" w:space="0" w:color="4E88C7"/>
              <w:bottom w:val="single" w:sz="4" w:space="0" w:color="4E88C7"/>
            </w:tcBorders>
            <w:shd w:val="clear" w:color="auto" w:fill="auto"/>
            <w:tcMar>
              <w:left w:w="0" w:type="dxa"/>
            </w:tcMar>
          </w:tcPr>
          <w:p w14:paraId="22CFAE9A" w14:textId="77777777" w:rsidR="00C105BE" w:rsidRPr="00C06116" w:rsidRDefault="00C105BE" w:rsidP="006B1CB9">
            <w:pPr>
              <w:pStyle w:val="TableData"/>
            </w:pPr>
          </w:p>
        </w:tc>
        <w:tc>
          <w:tcPr>
            <w:tcW w:w="2584" w:type="dxa"/>
            <w:tcBorders>
              <w:top w:val="single" w:sz="4" w:space="0" w:color="4E88C7"/>
              <w:bottom w:val="single" w:sz="4" w:space="0" w:color="4E88C7"/>
            </w:tcBorders>
            <w:shd w:val="clear" w:color="auto" w:fill="auto"/>
          </w:tcPr>
          <w:p w14:paraId="146A1660" w14:textId="77777777" w:rsidR="00C105BE" w:rsidRPr="00C06116" w:rsidRDefault="00C105BE" w:rsidP="006B1CB9">
            <w:pPr>
              <w:pStyle w:val="TableData"/>
            </w:pPr>
          </w:p>
        </w:tc>
        <w:tc>
          <w:tcPr>
            <w:tcW w:w="2331" w:type="dxa"/>
            <w:tcBorders>
              <w:top w:val="single" w:sz="4" w:space="0" w:color="4E88C7"/>
              <w:bottom w:val="single" w:sz="4" w:space="0" w:color="4E88C7"/>
            </w:tcBorders>
            <w:shd w:val="clear" w:color="auto" w:fill="auto"/>
          </w:tcPr>
          <w:p w14:paraId="44E91ED7" w14:textId="77777777" w:rsidR="00C105BE" w:rsidRPr="00C06116" w:rsidRDefault="00C105BE" w:rsidP="006B1CB9">
            <w:pPr>
              <w:pStyle w:val="TableData"/>
            </w:pPr>
          </w:p>
        </w:tc>
      </w:tr>
      <w:tr w:rsidR="00C105BE" w14:paraId="1B2E7B3B" w14:textId="77777777" w:rsidTr="006B1CB9">
        <w:tc>
          <w:tcPr>
            <w:tcW w:w="4111" w:type="dxa"/>
            <w:tcBorders>
              <w:top w:val="single" w:sz="4" w:space="0" w:color="4E88C7"/>
              <w:bottom w:val="single" w:sz="8" w:space="0" w:color="4E88C7"/>
            </w:tcBorders>
            <w:shd w:val="clear" w:color="auto" w:fill="auto"/>
            <w:tcMar>
              <w:left w:w="0" w:type="dxa"/>
            </w:tcMar>
          </w:tcPr>
          <w:p w14:paraId="4483E23B" w14:textId="77777777" w:rsidR="00C105BE" w:rsidRPr="00C06116" w:rsidRDefault="00C105BE" w:rsidP="006B1CB9">
            <w:pPr>
              <w:pStyle w:val="TableData"/>
            </w:pPr>
          </w:p>
        </w:tc>
        <w:tc>
          <w:tcPr>
            <w:tcW w:w="2584" w:type="dxa"/>
            <w:tcBorders>
              <w:top w:val="single" w:sz="4" w:space="0" w:color="4E88C7"/>
              <w:left w:val="nil"/>
              <w:bottom w:val="single" w:sz="8" w:space="0" w:color="4E88C7"/>
              <w:right w:val="nil"/>
            </w:tcBorders>
            <w:shd w:val="clear" w:color="auto" w:fill="auto"/>
          </w:tcPr>
          <w:p w14:paraId="128ACDC0" w14:textId="77777777" w:rsidR="00C105BE" w:rsidRPr="00C06116" w:rsidRDefault="00C105BE" w:rsidP="006B1CB9">
            <w:pPr>
              <w:pStyle w:val="TableData"/>
            </w:pPr>
          </w:p>
        </w:tc>
        <w:tc>
          <w:tcPr>
            <w:tcW w:w="2331" w:type="dxa"/>
            <w:tcBorders>
              <w:top w:val="single" w:sz="4" w:space="0" w:color="4E88C7"/>
              <w:bottom w:val="single" w:sz="8" w:space="0" w:color="4E88C7"/>
            </w:tcBorders>
            <w:shd w:val="clear" w:color="auto" w:fill="auto"/>
          </w:tcPr>
          <w:p w14:paraId="7203E9D5" w14:textId="77777777" w:rsidR="00C105BE" w:rsidRPr="00C06116" w:rsidRDefault="00C105BE" w:rsidP="006B1CB9">
            <w:pPr>
              <w:pStyle w:val="TableData"/>
            </w:pPr>
          </w:p>
        </w:tc>
      </w:tr>
    </w:tbl>
    <w:p w14:paraId="613A3ACF" w14:textId="77777777" w:rsidR="00C105BE" w:rsidRPr="00FB0770" w:rsidRDefault="00C105BE" w:rsidP="00C105BE">
      <w:pPr>
        <w:pStyle w:val="NoSpacing"/>
        <w:jc w:val="left"/>
      </w:pPr>
    </w:p>
    <w:tbl>
      <w:tblPr>
        <w:tblW w:w="9214" w:type="dxa"/>
        <w:tblBorders>
          <w:top w:val="single" w:sz="8" w:space="0" w:color="4E88C7"/>
          <w:bottom w:val="single" w:sz="8" w:space="0" w:color="4E88C7"/>
        </w:tblBorders>
        <w:tblCellMar>
          <w:left w:w="0" w:type="dxa"/>
          <w:right w:w="0" w:type="dxa"/>
        </w:tblCellMar>
        <w:tblLook w:val="0480" w:firstRow="0" w:lastRow="0" w:firstColumn="1" w:lastColumn="0" w:noHBand="0" w:noVBand="1"/>
      </w:tblPr>
      <w:tblGrid>
        <w:gridCol w:w="1612"/>
        <w:gridCol w:w="1612"/>
        <w:gridCol w:w="1855"/>
        <w:gridCol w:w="1995"/>
        <w:gridCol w:w="2140"/>
      </w:tblGrid>
      <w:tr w:rsidR="00C105BE" w14:paraId="16710082" w14:textId="77777777" w:rsidTr="006B1CB9">
        <w:tc>
          <w:tcPr>
            <w:tcW w:w="9214" w:type="dxa"/>
            <w:gridSpan w:val="5"/>
            <w:tcBorders>
              <w:top w:val="nil"/>
              <w:bottom w:val="single" w:sz="4" w:space="0" w:color="4E88C7"/>
            </w:tcBorders>
            <w:shd w:val="clear" w:color="auto" w:fill="auto"/>
            <w:tcMar>
              <w:left w:w="0" w:type="dxa"/>
            </w:tcMar>
          </w:tcPr>
          <w:p w14:paraId="11EEEFC5" w14:textId="77777777" w:rsidR="00C105BE" w:rsidRPr="00C06116" w:rsidRDefault="00C105BE" w:rsidP="006B1CB9">
            <w:pPr>
              <w:pStyle w:val="TableHeader"/>
              <w:rPr>
                <w:bCs/>
              </w:rPr>
            </w:pPr>
            <w:r w:rsidRPr="00C06116">
              <w:rPr>
                <w:bCs/>
              </w:rPr>
              <w:t>Document History</w:t>
            </w:r>
          </w:p>
        </w:tc>
      </w:tr>
      <w:tr w:rsidR="006871B3" w14:paraId="31E18D89" w14:textId="77777777" w:rsidTr="006B1CB9">
        <w:tc>
          <w:tcPr>
            <w:tcW w:w="1612" w:type="dxa"/>
            <w:tcBorders>
              <w:top w:val="single" w:sz="4" w:space="0" w:color="4E88C7"/>
              <w:bottom w:val="single" w:sz="4" w:space="0" w:color="4E88C7"/>
            </w:tcBorders>
            <w:shd w:val="clear" w:color="auto" w:fill="DBE7F3"/>
            <w:tcMar>
              <w:left w:w="0" w:type="dxa"/>
            </w:tcMar>
          </w:tcPr>
          <w:p w14:paraId="082D2796" w14:textId="77777777" w:rsidR="006871B3" w:rsidRPr="00C06116" w:rsidRDefault="006871B3" w:rsidP="006871B3">
            <w:pPr>
              <w:pStyle w:val="TableData"/>
              <w:rPr>
                <w:b/>
              </w:rPr>
            </w:pPr>
            <w:r w:rsidRPr="00C06116">
              <w:t>Edition</w:t>
            </w:r>
          </w:p>
        </w:tc>
        <w:tc>
          <w:tcPr>
            <w:tcW w:w="1612" w:type="dxa"/>
            <w:tcBorders>
              <w:top w:val="single" w:sz="4" w:space="0" w:color="4E88C7"/>
              <w:bottom w:val="single" w:sz="4" w:space="0" w:color="4E88C7"/>
            </w:tcBorders>
            <w:shd w:val="clear" w:color="auto" w:fill="DBE7F3"/>
          </w:tcPr>
          <w:p w14:paraId="47546D59" w14:textId="77777777" w:rsidR="006871B3" w:rsidRPr="00192F6A" w:rsidRDefault="006871B3" w:rsidP="006871B3">
            <w:pPr>
              <w:pStyle w:val="TableData"/>
            </w:pPr>
            <w:r w:rsidRPr="00192F6A">
              <w:t>Date</w:t>
            </w:r>
          </w:p>
        </w:tc>
        <w:tc>
          <w:tcPr>
            <w:tcW w:w="1855" w:type="dxa"/>
            <w:tcBorders>
              <w:top w:val="single" w:sz="4" w:space="0" w:color="4E88C7"/>
              <w:bottom w:val="single" w:sz="4" w:space="0" w:color="4E88C7"/>
            </w:tcBorders>
            <w:shd w:val="clear" w:color="auto" w:fill="DBE7F3"/>
          </w:tcPr>
          <w:p w14:paraId="0CF3D098" w14:textId="77777777" w:rsidR="006871B3" w:rsidRPr="00192F6A" w:rsidRDefault="006871B3" w:rsidP="006871B3">
            <w:pPr>
              <w:pStyle w:val="TableData"/>
            </w:pPr>
            <w:r w:rsidRPr="00192F6A">
              <w:t>Status</w:t>
            </w:r>
          </w:p>
        </w:tc>
        <w:tc>
          <w:tcPr>
            <w:tcW w:w="1995" w:type="dxa"/>
            <w:tcBorders>
              <w:top w:val="single" w:sz="4" w:space="0" w:color="4E88C7"/>
              <w:bottom w:val="single" w:sz="4" w:space="0" w:color="4E88C7"/>
            </w:tcBorders>
            <w:shd w:val="clear" w:color="auto" w:fill="DBE7F3"/>
          </w:tcPr>
          <w:p w14:paraId="009601DB" w14:textId="77777777" w:rsidR="006871B3" w:rsidRPr="00C06116" w:rsidRDefault="006871B3" w:rsidP="006871B3">
            <w:pPr>
              <w:pStyle w:val="TableData"/>
              <w:rPr>
                <w:b/>
              </w:rPr>
            </w:pPr>
            <w:r>
              <w:t>Name / Beneficiary</w:t>
            </w:r>
          </w:p>
        </w:tc>
        <w:tc>
          <w:tcPr>
            <w:tcW w:w="2140" w:type="dxa"/>
            <w:tcBorders>
              <w:top w:val="single" w:sz="4" w:space="0" w:color="4E88C7"/>
              <w:bottom w:val="single" w:sz="4" w:space="0" w:color="4E88C7"/>
            </w:tcBorders>
            <w:shd w:val="clear" w:color="auto" w:fill="DBE7F3"/>
          </w:tcPr>
          <w:p w14:paraId="15D1EF99" w14:textId="77777777" w:rsidR="006871B3" w:rsidRPr="00192F6A" w:rsidRDefault="006871B3" w:rsidP="006871B3">
            <w:pPr>
              <w:pStyle w:val="TableData"/>
            </w:pPr>
            <w:r w:rsidRPr="00192F6A">
              <w:t>Justification</w:t>
            </w:r>
          </w:p>
        </w:tc>
      </w:tr>
      <w:tr w:rsidR="0006406C" w14:paraId="22ABAB6C" w14:textId="77777777" w:rsidTr="006B1CB9">
        <w:tc>
          <w:tcPr>
            <w:tcW w:w="1612" w:type="dxa"/>
            <w:tcBorders>
              <w:top w:val="single" w:sz="4" w:space="0" w:color="4E88C7"/>
              <w:bottom w:val="single" w:sz="4" w:space="0" w:color="4E88C7"/>
            </w:tcBorders>
            <w:shd w:val="clear" w:color="auto" w:fill="auto"/>
            <w:tcMar>
              <w:left w:w="0" w:type="dxa"/>
            </w:tcMar>
          </w:tcPr>
          <w:p w14:paraId="34FF94A7" w14:textId="5889B8A3" w:rsidR="0006406C" w:rsidRPr="00C06116" w:rsidRDefault="0006406C" w:rsidP="0006406C">
            <w:pPr>
              <w:pStyle w:val="TableData"/>
            </w:pPr>
            <w:r w:rsidRPr="00757C58">
              <w:rPr>
                <w:rFonts w:asciiTheme="minorHAnsi" w:hAnsiTheme="minorHAnsi" w:cstheme="minorHAnsi"/>
              </w:rPr>
              <w:lastRenderedPageBreak/>
              <w:t>00.00.01</w:t>
            </w:r>
          </w:p>
        </w:tc>
        <w:tc>
          <w:tcPr>
            <w:tcW w:w="1612" w:type="dxa"/>
            <w:tcBorders>
              <w:top w:val="single" w:sz="4" w:space="0" w:color="4E88C7"/>
              <w:bottom w:val="single" w:sz="4" w:space="0" w:color="4E88C7"/>
            </w:tcBorders>
            <w:shd w:val="clear" w:color="auto" w:fill="auto"/>
          </w:tcPr>
          <w:p w14:paraId="4BF69EA0" w14:textId="367D3B87" w:rsidR="0006406C" w:rsidRPr="00C06116" w:rsidRDefault="0006406C" w:rsidP="0006406C">
            <w:pPr>
              <w:pStyle w:val="TableData"/>
            </w:pPr>
            <w:r w:rsidRPr="00757C58">
              <w:rPr>
                <w:rFonts w:asciiTheme="minorHAnsi" w:hAnsiTheme="minorHAnsi" w:cstheme="minorHAnsi"/>
              </w:rPr>
              <w:t>2021-</w:t>
            </w:r>
            <w:r>
              <w:rPr>
                <w:rFonts w:asciiTheme="minorHAnsi" w:hAnsiTheme="minorHAnsi" w:cstheme="minorHAnsi"/>
              </w:rPr>
              <w:t>12</w:t>
            </w:r>
            <w:r w:rsidRPr="00757C58">
              <w:rPr>
                <w:rFonts w:asciiTheme="minorHAnsi" w:hAnsiTheme="minorHAnsi" w:cstheme="minorHAnsi"/>
              </w:rPr>
              <w:t>-</w:t>
            </w:r>
            <w:r>
              <w:rPr>
                <w:rFonts w:asciiTheme="minorHAnsi" w:hAnsiTheme="minorHAnsi" w:cstheme="minorHAnsi"/>
              </w:rPr>
              <w:t>21</w:t>
            </w:r>
          </w:p>
        </w:tc>
        <w:tc>
          <w:tcPr>
            <w:tcW w:w="1855" w:type="dxa"/>
            <w:tcBorders>
              <w:top w:val="single" w:sz="4" w:space="0" w:color="4E88C7"/>
              <w:bottom w:val="single" w:sz="4" w:space="0" w:color="4E88C7"/>
            </w:tcBorders>
            <w:shd w:val="clear" w:color="auto" w:fill="auto"/>
          </w:tcPr>
          <w:p w14:paraId="4F303B0D" w14:textId="7D617C9C" w:rsidR="0006406C" w:rsidRPr="00C06116" w:rsidRDefault="0006406C" w:rsidP="0006406C">
            <w:pPr>
              <w:pStyle w:val="TableData"/>
            </w:pPr>
            <w:r w:rsidRPr="00757C58">
              <w:rPr>
                <w:rFonts w:asciiTheme="minorHAnsi" w:hAnsiTheme="minorHAnsi" w:cstheme="minorHAnsi"/>
              </w:rPr>
              <w:t>Draft</w:t>
            </w:r>
          </w:p>
        </w:tc>
        <w:tc>
          <w:tcPr>
            <w:tcW w:w="1995" w:type="dxa"/>
            <w:tcBorders>
              <w:top w:val="single" w:sz="4" w:space="0" w:color="4E88C7"/>
              <w:bottom w:val="single" w:sz="4" w:space="0" w:color="4E88C7"/>
            </w:tcBorders>
            <w:shd w:val="clear" w:color="auto" w:fill="auto"/>
          </w:tcPr>
          <w:p w14:paraId="0856387E" w14:textId="1FF67352" w:rsidR="0006406C" w:rsidRPr="00C06116" w:rsidRDefault="0006406C" w:rsidP="0006406C">
            <w:pPr>
              <w:pStyle w:val="TableData"/>
            </w:pPr>
            <w:r>
              <w:rPr>
                <w:rFonts w:asciiTheme="minorHAnsi" w:hAnsiTheme="minorHAnsi" w:cstheme="minorHAnsi"/>
              </w:rPr>
              <w:t>Pietro Aricò</w:t>
            </w:r>
          </w:p>
        </w:tc>
        <w:tc>
          <w:tcPr>
            <w:tcW w:w="2140" w:type="dxa"/>
            <w:tcBorders>
              <w:top w:val="single" w:sz="4" w:space="0" w:color="4E88C7"/>
              <w:bottom w:val="single" w:sz="4" w:space="0" w:color="4E88C7"/>
            </w:tcBorders>
            <w:shd w:val="clear" w:color="auto" w:fill="auto"/>
          </w:tcPr>
          <w:p w14:paraId="6EC1FA49" w14:textId="4CB2D400" w:rsidR="0006406C" w:rsidRPr="00C06116" w:rsidRDefault="0006406C" w:rsidP="0006406C">
            <w:pPr>
              <w:pStyle w:val="TableData"/>
            </w:pPr>
            <w:r w:rsidRPr="00757C58">
              <w:rPr>
                <w:rFonts w:asciiTheme="minorHAnsi" w:hAnsiTheme="minorHAnsi" w:cstheme="minorHAnsi"/>
              </w:rPr>
              <w:t>With SJU template</w:t>
            </w:r>
          </w:p>
        </w:tc>
      </w:tr>
      <w:tr w:rsidR="0006406C" w14:paraId="2CB6EC47" w14:textId="77777777" w:rsidTr="006B1CB9">
        <w:tc>
          <w:tcPr>
            <w:tcW w:w="1612" w:type="dxa"/>
            <w:tcBorders>
              <w:top w:val="single" w:sz="4" w:space="0" w:color="4E88C7"/>
              <w:bottom w:val="single" w:sz="4" w:space="0" w:color="4E88C7"/>
            </w:tcBorders>
            <w:shd w:val="clear" w:color="auto" w:fill="auto"/>
            <w:tcMar>
              <w:left w:w="0" w:type="dxa"/>
            </w:tcMar>
          </w:tcPr>
          <w:p w14:paraId="2EDC0D1A" w14:textId="037BDB38" w:rsidR="0006406C" w:rsidRPr="00C06116" w:rsidRDefault="0006406C" w:rsidP="0006406C">
            <w:pPr>
              <w:pStyle w:val="TableData"/>
            </w:pPr>
            <w:r w:rsidRPr="00757C58">
              <w:rPr>
                <w:rFonts w:asciiTheme="minorHAnsi" w:hAnsiTheme="minorHAnsi" w:cstheme="minorHAnsi"/>
              </w:rPr>
              <w:t>00.00.0</w:t>
            </w:r>
            <w:r>
              <w:rPr>
                <w:rFonts w:asciiTheme="minorHAnsi" w:hAnsiTheme="minorHAnsi" w:cstheme="minorHAnsi"/>
              </w:rPr>
              <w:t>2</w:t>
            </w:r>
          </w:p>
        </w:tc>
        <w:tc>
          <w:tcPr>
            <w:tcW w:w="1612" w:type="dxa"/>
            <w:tcBorders>
              <w:top w:val="single" w:sz="4" w:space="0" w:color="4E88C7"/>
              <w:bottom w:val="single" w:sz="4" w:space="0" w:color="4E88C7"/>
            </w:tcBorders>
            <w:shd w:val="clear" w:color="auto" w:fill="auto"/>
          </w:tcPr>
          <w:p w14:paraId="4AEF6122" w14:textId="4195B74E" w:rsidR="0006406C" w:rsidRPr="00C06116" w:rsidRDefault="0006406C" w:rsidP="0006406C">
            <w:pPr>
              <w:pStyle w:val="TableData"/>
            </w:pPr>
            <w:r w:rsidRPr="00757C58">
              <w:rPr>
                <w:rFonts w:asciiTheme="minorHAnsi" w:hAnsiTheme="minorHAnsi" w:cstheme="minorHAnsi"/>
              </w:rPr>
              <w:t>202</w:t>
            </w:r>
            <w:r>
              <w:rPr>
                <w:rFonts w:asciiTheme="minorHAnsi" w:hAnsiTheme="minorHAnsi" w:cstheme="minorHAnsi"/>
              </w:rPr>
              <w:t>2</w:t>
            </w:r>
            <w:r w:rsidRPr="00757C58">
              <w:rPr>
                <w:rFonts w:asciiTheme="minorHAnsi" w:hAnsiTheme="minorHAnsi" w:cstheme="minorHAnsi"/>
              </w:rPr>
              <w:t>-</w:t>
            </w:r>
            <w:r>
              <w:rPr>
                <w:rFonts w:asciiTheme="minorHAnsi" w:hAnsiTheme="minorHAnsi" w:cstheme="minorHAnsi"/>
              </w:rPr>
              <w:t>01</w:t>
            </w:r>
            <w:r w:rsidRPr="00757C58">
              <w:rPr>
                <w:rFonts w:asciiTheme="minorHAnsi" w:hAnsiTheme="minorHAnsi" w:cstheme="minorHAnsi"/>
              </w:rPr>
              <w:t>-</w:t>
            </w:r>
            <w:r>
              <w:rPr>
                <w:rFonts w:asciiTheme="minorHAnsi" w:hAnsiTheme="minorHAnsi" w:cstheme="minorHAnsi"/>
              </w:rPr>
              <w:t>07</w:t>
            </w:r>
          </w:p>
        </w:tc>
        <w:tc>
          <w:tcPr>
            <w:tcW w:w="1855" w:type="dxa"/>
            <w:tcBorders>
              <w:top w:val="single" w:sz="4" w:space="0" w:color="4E88C7"/>
              <w:bottom w:val="single" w:sz="4" w:space="0" w:color="4E88C7"/>
            </w:tcBorders>
            <w:shd w:val="clear" w:color="auto" w:fill="auto"/>
          </w:tcPr>
          <w:p w14:paraId="5C6E2227" w14:textId="27A5FB83" w:rsidR="0006406C" w:rsidRPr="00C06116" w:rsidRDefault="0006406C" w:rsidP="0006406C">
            <w:pPr>
              <w:pStyle w:val="TableData"/>
            </w:pPr>
            <w:r>
              <w:rPr>
                <w:rFonts w:asciiTheme="minorHAnsi" w:hAnsiTheme="minorHAnsi" w:cstheme="minorHAnsi"/>
              </w:rPr>
              <w:t>Draft</w:t>
            </w:r>
          </w:p>
        </w:tc>
        <w:tc>
          <w:tcPr>
            <w:tcW w:w="1995" w:type="dxa"/>
            <w:tcBorders>
              <w:top w:val="single" w:sz="4" w:space="0" w:color="4E88C7"/>
              <w:bottom w:val="single" w:sz="4" w:space="0" w:color="4E88C7"/>
            </w:tcBorders>
            <w:shd w:val="clear" w:color="auto" w:fill="auto"/>
          </w:tcPr>
          <w:p w14:paraId="082112FB" w14:textId="25AE91B4" w:rsidR="0006406C" w:rsidRPr="009E0C1A" w:rsidRDefault="0006406C" w:rsidP="0006406C">
            <w:pPr>
              <w:pStyle w:val="TableData"/>
              <w:rPr>
                <w:lang w:val="it-IT"/>
              </w:rPr>
            </w:pPr>
            <w:r w:rsidRPr="00781374">
              <w:rPr>
                <w:rFonts w:asciiTheme="minorHAnsi" w:hAnsiTheme="minorHAnsi" w:cstheme="minorHAnsi"/>
                <w:lang w:val="it-IT"/>
              </w:rPr>
              <w:t>Pietro Aricò</w:t>
            </w:r>
            <w:r>
              <w:rPr>
                <w:rFonts w:asciiTheme="minorHAnsi" w:hAnsiTheme="minorHAnsi" w:cstheme="minorHAnsi"/>
                <w:lang w:val="it-IT"/>
              </w:rPr>
              <w:t>/Giulia Cartocci</w:t>
            </w:r>
            <w:r w:rsidRPr="00781374">
              <w:rPr>
                <w:rFonts w:asciiTheme="minorHAnsi" w:hAnsiTheme="minorHAnsi" w:cstheme="minorHAnsi"/>
                <w:lang w:val="it-IT"/>
              </w:rPr>
              <w:t>/Fabio Babiloni/G</w:t>
            </w:r>
            <w:r>
              <w:rPr>
                <w:rFonts w:asciiTheme="minorHAnsi" w:hAnsiTheme="minorHAnsi" w:cstheme="minorHAnsi"/>
                <w:lang w:val="it-IT"/>
              </w:rPr>
              <w:t>ianluca Borghini/Gianluca Di Flumeri</w:t>
            </w:r>
          </w:p>
        </w:tc>
        <w:tc>
          <w:tcPr>
            <w:tcW w:w="2140" w:type="dxa"/>
            <w:tcBorders>
              <w:top w:val="single" w:sz="4" w:space="0" w:color="4E88C7"/>
              <w:bottom w:val="single" w:sz="4" w:space="0" w:color="4E88C7"/>
            </w:tcBorders>
            <w:shd w:val="clear" w:color="auto" w:fill="auto"/>
          </w:tcPr>
          <w:p w14:paraId="77E1CE5E" w14:textId="35187A50" w:rsidR="0006406C" w:rsidRPr="00C06116" w:rsidRDefault="0006406C" w:rsidP="0006406C">
            <w:pPr>
              <w:pStyle w:val="TableData"/>
            </w:pPr>
            <w:r>
              <w:rPr>
                <w:rFonts w:asciiTheme="minorHAnsi" w:hAnsiTheme="minorHAnsi" w:cstheme="minorHAnsi"/>
              </w:rPr>
              <w:t>Structure of the document</w:t>
            </w:r>
          </w:p>
        </w:tc>
      </w:tr>
      <w:tr w:rsidR="0006406C" w14:paraId="616CF0D8" w14:textId="77777777" w:rsidTr="006B1CB9">
        <w:tc>
          <w:tcPr>
            <w:tcW w:w="1612" w:type="dxa"/>
            <w:tcBorders>
              <w:top w:val="single" w:sz="4" w:space="0" w:color="4E88C7"/>
              <w:bottom w:val="single" w:sz="8" w:space="0" w:color="4E88C7"/>
            </w:tcBorders>
            <w:shd w:val="clear" w:color="auto" w:fill="auto"/>
          </w:tcPr>
          <w:p w14:paraId="00932AA7" w14:textId="07191353" w:rsidR="0006406C" w:rsidRPr="00C06116" w:rsidRDefault="0006406C" w:rsidP="0006406C">
            <w:pPr>
              <w:pStyle w:val="TableData"/>
            </w:pPr>
            <w:r>
              <w:rPr>
                <w:rFonts w:asciiTheme="minorHAnsi" w:hAnsiTheme="minorHAnsi" w:cstheme="minorHAnsi"/>
              </w:rPr>
              <w:t>00.00.03</w:t>
            </w:r>
          </w:p>
        </w:tc>
        <w:tc>
          <w:tcPr>
            <w:tcW w:w="1612" w:type="dxa"/>
            <w:tcBorders>
              <w:top w:val="single" w:sz="4" w:space="0" w:color="4E88C7"/>
              <w:bottom w:val="single" w:sz="8" w:space="0" w:color="4E88C7"/>
            </w:tcBorders>
            <w:shd w:val="clear" w:color="auto" w:fill="auto"/>
          </w:tcPr>
          <w:p w14:paraId="28D7E764" w14:textId="68071CD5" w:rsidR="0006406C" w:rsidRPr="00C06116" w:rsidRDefault="0006406C" w:rsidP="0006406C">
            <w:pPr>
              <w:pStyle w:val="TableData"/>
            </w:pPr>
            <w:r>
              <w:rPr>
                <w:rFonts w:asciiTheme="minorHAnsi" w:hAnsiTheme="minorHAnsi" w:cstheme="minorHAnsi"/>
              </w:rPr>
              <w:t>2022-01-26</w:t>
            </w:r>
          </w:p>
        </w:tc>
        <w:tc>
          <w:tcPr>
            <w:tcW w:w="1855" w:type="dxa"/>
            <w:tcBorders>
              <w:top w:val="single" w:sz="4" w:space="0" w:color="4E88C7"/>
              <w:bottom w:val="single" w:sz="8" w:space="0" w:color="4E88C7"/>
            </w:tcBorders>
            <w:shd w:val="clear" w:color="auto" w:fill="auto"/>
          </w:tcPr>
          <w:p w14:paraId="7DD4ACEF" w14:textId="73EA14BB" w:rsidR="0006406C" w:rsidRPr="00C06116" w:rsidRDefault="0006406C" w:rsidP="0006406C">
            <w:pPr>
              <w:pStyle w:val="TableData"/>
            </w:pPr>
            <w:r>
              <w:rPr>
                <w:rFonts w:asciiTheme="minorHAnsi" w:hAnsiTheme="minorHAnsi" w:cstheme="minorHAnsi"/>
              </w:rPr>
              <w:t xml:space="preserve">Draft </w:t>
            </w:r>
          </w:p>
        </w:tc>
        <w:tc>
          <w:tcPr>
            <w:tcW w:w="1995" w:type="dxa"/>
            <w:tcBorders>
              <w:top w:val="single" w:sz="4" w:space="0" w:color="4E88C7"/>
              <w:bottom w:val="single" w:sz="8" w:space="0" w:color="4E88C7"/>
            </w:tcBorders>
            <w:shd w:val="clear" w:color="auto" w:fill="auto"/>
          </w:tcPr>
          <w:p w14:paraId="62FB4EB6" w14:textId="762A45B6" w:rsidR="0006406C" w:rsidRPr="009E0C1A" w:rsidRDefault="0006406C" w:rsidP="0006406C">
            <w:pPr>
              <w:pStyle w:val="TableData"/>
              <w:rPr>
                <w:lang w:val="it-IT"/>
              </w:rPr>
            </w:pPr>
            <w:r w:rsidRPr="00D77605">
              <w:rPr>
                <w:rFonts w:asciiTheme="minorHAnsi" w:hAnsiTheme="minorHAnsi" w:cstheme="minorHAnsi"/>
                <w:lang w:val="it-IT"/>
              </w:rPr>
              <w:t>Nicola Cavagnetto/</w:t>
            </w:r>
            <w:r w:rsidRPr="00D77605">
              <w:rPr>
                <w:lang w:val="it-IT"/>
              </w:rPr>
              <w:t xml:space="preserve"> </w:t>
            </w:r>
            <w:r w:rsidRPr="00D77605">
              <w:rPr>
                <w:rFonts w:asciiTheme="minorHAnsi" w:hAnsiTheme="minorHAnsi" w:cstheme="minorHAnsi"/>
                <w:lang w:val="it-IT"/>
              </w:rPr>
              <w:t>Minesh Poudel/</w:t>
            </w:r>
            <w:r w:rsidRPr="00D77605">
              <w:rPr>
                <w:lang w:val="it-IT"/>
              </w:rPr>
              <w:t xml:space="preserve"> </w:t>
            </w:r>
            <w:r w:rsidRPr="00D77605">
              <w:rPr>
                <w:rFonts w:asciiTheme="minorHAnsi" w:hAnsiTheme="minorHAnsi" w:cstheme="minorHAnsi"/>
                <w:lang w:val="it-IT"/>
              </w:rPr>
              <w:t>Hamidur Rahman</w:t>
            </w:r>
          </w:p>
        </w:tc>
        <w:tc>
          <w:tcPr>
            <w:tcW w:w="2140" w:type="dxa"/>
            <w:tcBorders>
              <w:top w:val="single" w:sz="4" w:space="0" w:color="4E88C7"/>
              <w:bottom w:val="single" w:sz="8" w:space="0" w:color="4E88C7"/>
            </w:tcBorders>
            <w:shd w:val="clear" w:color="auto" w:fill="auto"/>
          </w:tcPr>
          <w:p w14:paraId="5E078457" w14:textId="4EC15A04" w:rsidR="0006406C" w:rsidRPr="00C06116" w:rsidRDefault="0006406C" w:rsidP="0006406C">
            <w:pPr>
              <w:pStyle w:val="TableData"/>
            </w:pPr>
            <w:r>
              <w:rPr>
                <w:rFonts w:asciiTheme="minorHAnsi" w:hAnsiTheme="minorHAnsi" w:cstheme="minorHAnsi"/>
              </w:rPr>
              <w:t>Internal review</w:t>
            </w:r>
          </w:p>
        </w:tc>
      </w:tr>
      <w:tr w:rsidR="0006406C" w14:paraId="0738738A" w14:textId="77777777" w:rsidTr="006B1CB9">
        <w:tc>
          <w:tcPr>
            <w:tcW w:w="1612" w:type="dxa"/>
            <w:tcBorders>
              <w:top w:val="single" w:sz="4" w:space="0" w:color="4E88C7"/>
              <w:bottom w:val="single" w:sz="8" w:space="0" w:color="4E88C7"/>
            </w:tcBorders>
            <w:shd w:val="clear" w:color="auto" w:fill="auto"/>
          </w:tcPr>
          <w:p w14:paraId="409277CC" w14:textId="1BB535A6" w:rsidR="0006406C" w:rsidRDefault="0006406C" w:rsidP="0006406C">
            <w:pPr>
              <w:pStyle w:val="TableData"/>
              <w:rPr>
                <w:rFonts w:asciiTheme="minorHAnsi" w:hAnsiTheme="minorHAnsi" w:cstheme="minorHAnsi"/>
              </w:rPr>
            </w:pPr>
            <w:r>
              <w:rPr>
                <w:rFonts w:asciiTheme="minorHAnsi" w:hAnsiTheme="minorHAnsi" w:cstheme="minorHAnsi"/>
              </w:rPr>
              <w:t>00.00.04</w:t>
            </w:r>
          </w:p>
        </w:tc>
        <w:tc>
          <w:tcPr>
            <w:tcW w:w="1612" w:type="dxa"/>
            <w:tcBorders>
              <w:top w:val="single" w:sz="4" w:space="0" w:color="4E88C7"/>
              <w:bottom w:val="single" w:sz="8" w:space="0" w:color="4E88C7"/>
            </w:tcBorders>
            <w:shd w:val="clear" w:color="auto" w:fill="auto"/>
          </w:tcPr>
          <w:p w14:paraId="4E0A9664" w14:textId="11D7E3D8" w:rsidR="0006406C" w:rsidRDefault="0006406C" w:rsidP="0006406C">
            <w:pPr>
              <w:pStyle w:val="TableData"/>
              <w:rPr>
                <w:rFonts w:asciiTheme="minorHAnsi" w:hAnsiTheme="minorHAnsi" w:cstheme="minorHAnsi"/>
              </w:rPr>
            </w:pPr>
            <w:r>
              <w:rPr>
                <w:rFonts w:asciiTheme="minorHAnsi" w:hAnsiTheme="minorHAnsi" w:cstheme="minorHAnsi"/>
              </w:rPr>
              <w:t>2022-01-27</w:t>
            </w:r>
          </w:p>
        </w:tc>
        <w:tc>
          <w:tcPr>
            <w:tcW w:w="1855" w:type="dxa"/>
            <w:tcBorders>
              <w:top w:val="single" w:sz="4" w:space="0" w:color="4E88C7"/>
              <w:bottom w:val="single" w:sz="8" w:space="0" w:color="4E88C7"/>
            </w:tcBorders>
            <w:shd w:val="clear" w:color="auto" w:fill="auto"/>
          </w:tcPr>
          <w:p w14:paraId="07384689" w14:textId="224C9456" w:rsidR="0006406C" w:rsidRDefault="0006406C" w:rsidP="0006406C">
            <w:pPr>
              <w:pStyle w:val="TableData"/>
              <w:rPr>
                <w:rFonts w:asciiTheme="minorHAnsi" w:hAnsiTheme="minorHAnsi" w:cstheme="minorHAnsi"/>
              </w:rPr>
            </w:pPr>
            <w:r>
              <w:rPr>
                <w:rFonts w:asciiTheme="minorHAnsi" w:hAnsiTheme="minorHAnsi" w:cstheme="minorHAnsi"/>
              </w:rPr>
              <w:t>Draft</w:t>
            </w:r>
          </w:p>
        </w:tc>
        <w:tc>
          <w:tcPr>
            <w:tcW w:w="1995" w:type="dxa"/>
            <w:tcBorders>
              <w:top w:val="single" w:sz="4" w:space="0" w:color="4E88C7"/>
              <w:bottom w:val="single" w:sz="8" w:space="0" w:color="4E88C7"/>
            </w:tcBorders>
            <w:shd w:val="clear" w:color="auto" w:fill="auto"/>
          </w:tcPr>
          <w:p w14:paraId="14F69ED5" w14:textId="6EE369ED" w:rsidR="0006406C" w:rsidRPr="00D77605" w:rsidRDefault="0006406C" w:rsidP="0006406C">
            <w:pPr>
              <w:pStyle w:val="TableData"/>
              <w:rPr>
                <w:rFonts w:asciiTheme="minorHAnsi" w:hAnsiTheme="minorHAnsi" w:cstheme="minorHAnsi"/>
                <w:lang w:val="it-IT"/>
              </w:rPr>
            </w:pPr>
            <w:r>
              <w:rPr>
                <w:rFonts w:asciiTheme="minorHAnsi" w:hAnsiTheme="minorHAnsi" w:cstheme="minorHAnsi"/>
              </w:rPr>
              <w:t>Pietro Aricò/Fabio Babiloni</w:t>
            </w:r>
          </w:p>
        </w:tc>
        <w:tc>
          <w:tcPr>
            <w:tcW w:w="2140" w:type="dxa"/>
            <w:tcBorders>
              <w:top w:val="single" w:sz="4" w:space="0" w:color="4E88C7"/>
              <w:bottom w:val="single" w:sz="8" w:space="0" w:color="4E88C7"/>
            </w:tcBorders>
            <w:shd w:val="clear" w:color="auto" w:fill="auto"/>
          </w:tcPr>
          <w:p w14:paraId="54381989" w14:textId="25639C44" w:rsidR="0006406C" w:rsidRDefault="0006406C" w:rsidP="0006406C">
            <w:pPr>
              <w:pStyle w:val="TableData"/>
              <w:rPr>
                <w:rFonts w:asciiTheme="minorHAnsi" w:hAnsiTheme="minorHAnsi" w:cstheme="minorHAnsi"/>
              </w:rPr>
            </w:pPr>
            <w:r>
              <w:rPr>
                <w:rFonts w:asciiTheme="minorHAnsi" w:hAnsiTheme="minorHAnsi" w:cstheme="minorHAnsi"/>
              </w:rPr>
              <w:t>Complete version with revision</w:t>
            </w:r>
          </w:p>
        </w:tc>
      </w:tr>
      <w:tr w:rsidR="0006406C" w14:paraId="0005A628" w14:textId="77777777" w:rsidTr="006B1CB9">
        <w:tc>
          <w:tcPr>
            <w:tcW w:w="1612" w:type="dxa"/>
            <w:tcBorders>
              <w:top w:val="single" w:sz="4" w:space="0" w:color="4E88C7"/>
              <w:bottom w:val="single" w:sz="8" w:space="0" w:color="4E88C7"/>
            </w:tcBorders>
            <w:shd w:val="clear" w:color="auto" w:fill="auto"/>
          </w:tcPr>
          <w:p w14:paraId="3D69C8CC" w14:textId="73C3F9B6" w:rsidR="0006406C" w:rsidRDefault="0006406C" w:rsidP="0006406C">
            <w:pPr>
              <w:pStyle w:val="TableData"/>
              <w:rPr>
                <w:rFonts w:asciiTheme="minorHAnsi" w:hAnsiTheme="minorHAnsi" w:cstheme="minorHAnsi"/>
              </w:rPr>
            </w:pPr>
            <w:r>
              <w:rPr>
                <w:rFonts w:asciiTheme="minorHAnsi" w:hAnsiTheme="minorHAnsi" w:cstheme="minorHAnsi"/>
              </w:rPr>
              <w:t>00.01.00</w:t>
            </w:r>
          </w:p>
        </w:tc>
        <w:tc>
          <w:tcPr>
            <w:tcW w:w="1612" w:type="dxa"/>
            <w:tcBorders>
              <w:top w:val="single" w:sz="4" w:space="0" w:color="4E88C7"/>
              <w:bottom w:val="single" w:sz="8" w:space="0" w:color="4E88C7"/>
            </w:tcBorders>
            <w:shd w:val="clear" w:color="auto" w:fill="auto"/>
          </w:tcPr>
          <w:p w14:paraId="1E490B42" w14:textId="404FA943" w:rsidR="0006406C" w:rsidRDefault="0006406C" w:rsidP="0006406C">
            <w:pPr>
              <w:pStyle w:val="TableData"/>
              <w:rPr>
                <w:rFonts w:asciiTheme="minorHAnsi" w:hAnsiTheme="minorHAnsi" w:cstheme="minorHAnsi"/>
              </w:rPr>
            </w:pPr>
            <w:r>
              <w:rPr>
                <w:rFonts w:asciiTheme="minorHAnsi" w:hAnsiTheme="minorHAnsi" w:cstheme="minorHAnsi"/>
              </w:rPr>
              <w:t>2022-01-28</w:t>
            </w:r>
          </w:p>
        </w:tc>
        <w:tc>
          <w:tcPr>
            <w:tcW w:w="1855" w:type="dxa"/>
            <w:tcBorders>
              <w:top w:val="single" w:sz="4" w:space="0" w:color="4E88C7"/>
              <w:bottom w:val="single" w:sz="8" w:space="0" w:color="4E88C7"/>
            </w:tcBorders>
            <w:shd w:val="clear" w:color="auto" w:fill="auto"/>
          </w:tcPr>
          <w:p w14:paraId="7341B1F3" w14:textId="4B1D5791" w:rsidR="0006406C" w:rsidRDefault="0006406C" w:rsidP="0006406C">
            <w:pPr>
              <w:pStyle w:val="TableData"/>
              <w:rPr>
                <w:rFonts w:asciiTheme="minorHAnsi" w:hAnsiTheme="minorHAnsi" w:cstheme="minorHAnsi"/>
              </w:rPr>
            </w:pPr>
            <w:r>
              <w:rPr>
                <w:rFonts w:asciiTheme="minorHAnsi" w:hAnsiTheme="minorHAnsi" w:cstheme="minorHAnsi"/>
              </w:rPr>
              <w:t>Final for 1</w:t>
            </w:r>
            <w:r w:rsidRPr="00BA4375">
              <w:rPr>
                <w:rFonts w:asciiTheme="minorHAnsi" w:hAnsiTheme="minorHAnsi" w:cstheme="minorHAnsi"/>
                <w:vertAlign w:val="superscript"/>
              </w:rPr>
              <w:t>st</w:t>
            </w:r>
            <w:r>
              <w:rPr>
                <w:rFonts w:asciiTheme="minorHAnsi" w:hAnsiTheme="minorHAnsi" w:cstheme="minorHAnsi"/>
              </w:rPr>
              <w:t xml:space="preserve"> round evaluation</w:t>
            </w:r>
          </w:p>
        </w:tc>
        <w:tc>
          <w:tcPr>
            <w:tcW w:w="1995" w:type="dxa"/>
            <w:tcBorders>
              <w:top w:val="single" w:sz="4" w:space="0" w:color="4E88C7"/>
              <w:bottom w:val="single" w:sz="8" w:space="0" w:color="4E88C7"/>
            </w:tcBorders>
            <w:shd w:val="clear" w:color="auto" w:fill="auto"/>
          </w:tcPr>
          <w:p w14:paraId="3A54A25A" w14:textId="3FB5228D" w:rsidR="0006406C" w:rsidRDefault="0006406C" w:rsidP="0006406C">
            <w:pPr>
              <w:pStyle w:val="TableData"/>
              <w:rPr>
                <w:rFonts w:asciiTheme="minorHAnsi" w:hAnsiTheme="minorHAnsi" w:cstheme="minorHAnsi"/>
              </w:rPr>
            </w:pPr>
            <w:r>
              <w:rPr>
                <w:rFonts w:asciiTheme="minorHAnsi" w:hAnsiTheme="minorHAnsi" w:cstheme="minorHAnsi"/>
              </w:rPr>
              <w:t xml:space="preserve"> Mobyen</w:t>
            </w:r>
          </w:p>
        </w:tc>
        <w:tc>
          <w:tcPr>
            <w:tcW w:w="2140" w:type="dxa"/>
            <w:tcBorders>
              <w:top w:val="single" w:sz="4" w:space="0" w:color="4E88C7"/>
              <w:bottom w:val="single" w:sz="8" w:space="0" w:color="4E88C7"/>
            </w:tcBorders>
            <w:shd w:val="clear" w:color="auto" w:fill="auto"/>
          </w:tcPr>
          <w:p w14:paraId="5BE51FE6" w14:textId="22FB6300" w:rsidR="0006406C" w:rsidRDefault="0006406C" w:rsidP="0006406C">
            <w:pPr>
              <w:pStyle w:val="TableData"/>
              <w:rPr>
                <w:rFonts w:asciiTheme="minorHAnsi" w:hAnsiTheme="minorHAnsi" w:cstheme="minorHAnsi"/>
              </w:rPr>
            </w:pPr>
            <w:r>
              <w:rPr>
                <w:rFonts w:asciiTheme="minorHAnsi" w:hAnsiTheme="minorHAnsi" w:cstheme="minorHAnsi"/>
              </w:rPr>
              <w:t>Ready to submit to the System</w:t>
            </w:r>
          </w:p>
        </w:tc>
      </w:tr>
      <w:tr w:rsidR="0006406C" w14:paraId="7DE8E3AC" w14:textId="77777777" w:rsidTr="0006406C">
        <w:tc>
          <w:tcPr>
            <w:tcW w:w="1612" w:type="dxa"/>
            <w:tcBorders>
              <w:top w:val="single" w:sz="4" w:space="0" w:color="4E88C7"/>
              <w:bottom w:val="single" w:sz="4" w:space="0" w:color="4E88C7"/>
            </w:tcBorders>
            <w:shd w:val="clear" w:color="auto" w:fill="auto"/>
          </w:tcPr>
          <w:p w14:paraId="29DEF38A" w14:textId="6A7336F1" w:rsidR="0006406C" w:rsidRDefault="0006406C" w:rsidP="0006406C">
            <w:pPr>
              <w:pStyle w:val="TableData"/>
              <w:rPr>
                <w:rFonts w:asciiTheme="minorHAnsi" w:hAnsiTheme="minorHAnsi" w:cstheme="minorHAnsi"/>
              </w:rPr>
            </w:pPr>
            <w:r>
              <w:rPr>
                <w:rFonts w:asciiTheme="minorHAnsi" w:hAnsiTheme="minorHAnsi" w:cstheme="minorHAnsi"/>
              </w:rPr>
              <w:t>00.02.00</w:t>
            </w:r>
          </w:p>
        </w:tc>
        <w:tc>
          <w:tcPr>
            <w:tcW w:w="1612" w:type="dxa"/>
            <w:tcBorders>
              <w:top w:val="single" w:sz="4" w:space="0" w:color="4E88C7"/>
              <w:bottom w:val="single" w:sz="4" w:space="0" w:color="4E88C7"/>
            </w:tcBorders>
            <w:shd w:val="clear" w:color="auto" w:fill="auto"/>
          </w:tcPr>
          <w:p w14:paraId="6931BB6A" w14:textId="610FA652" w:rsidR="0006406C" w:rsidRDefault="0006406C" w:rsidP="0006406C">
            <w:pPr>
              <w:pStyle w:val="TableData"/>
              <w:rPr>
                <w:rFonts w:asciiTheme="minorHAnsi" w:hAnsiTheme="minorHAnsi" w:cstheme="minorHAnsi"/>
              </w:rPr>
            </w:pPr>
            <w:r>
              <w:rPr>
                <w:rFonts w:asciiTheme="minorHAnsi" w:hAnsiTheme="minorHAnsi" w:cstheme="minorHAnsi"/>
              </w:rPr>
              <w:t>2022-03-30</w:t>
            </w:r>
          </w:p>
        </w:tc>
        <w:tc>
          <w:tcPr>
            <w:tcW w:w="1855" w:type="dxa"/>
            <w:tcBorders>
              <w:top w:val="single" w:sz="4" w:space="0" w:color="4E88C7"/>
              <w:bottom w:val="single" w:sz="4" w:space="0" w:color="4E88C7"/>
            </w:tcBorders>
            <w:shd w:val="clear" w:color="auto" w:fill="auto"/>
          </w:tcPr>
          <w:p w14:paraId="33EFB9E2" w14:textId="306C91C6" w:rsidR="0006406C" w:rsidRDefault="0006406C" w:rsidP="0006406C">
            <w:pPr>
              <w:pStyle w:val="TableData"/>
              <w:rPr>
                <w:rFonts w:asciiTheme="minorHAnsi" w:hAnsiTheme="minorHAnsi" w:cstheme="minorHAnsi"/>
              </w:rPr>
            </w:pPr>
            <w:r>
              <w:rPr>
                <w:rFonts w:asciiTheme="minorHAnsi" w:hAnsiTheme="minorHAnsi" w:cstheme="minorHAnsi"/>
              </w:rPr>
              <w:t>2</w:t>
            </w:r>
            <w:r w:rsidRPr="00CF21D9">
              <w:rPr>
                <w:rFonts w:asciiTheme="minorHAnsi" w:hAnsiTheme="minorHAnsi" w:cstheme="minorHAnsi"/>
                <w:vertAlign w:val="superscript"/>
              </w:rPr>
              <w:t>nd</w:t>
            </w:r>
            <w:r>
              <w:rPr>
                <w:rFonts w:asciiTheme="minorHAnsi" w:hAnsiTheme="minorHAnsi" w:cstheme="minorHAnsi"/>
              </w:rPr>
              <w:t xml:space="preserve"> round revision</w:t>
            </w:r>
          </w:p>
        </w:tc>
        <w:tc>
          <w:tcPr>
            <w:tcW w:w="1995" w:type="dxa"/>
            <w:tcBorders>
              <w:top w:val="single" w:sz="4" w:space="0" w:color="4E88C7"/>
              <w:bottom w:val="single" w:sz="4" w:space="0" w:color="4E88C7"/>
            </w:tcBorders>
            <w:shd w:val="clear" w:color="auto" w:fill="auto"/>
          </w:tcPr>
          <w:p w14:paraId="0EBAEDEB" w14:textId="502127AE" w:rsidR="0006406C" w:rsidRDefault="0006406C" w:rsidP="0006406C">
            <w:pPr>
              <w:pStyle w:val="TableData"/>
              <w:rPr>
                <w:rFonts w:asciiTheme="minorHAnsi" w:hAnsiTheme="minorHAnsi" w:cstheme="minorHAnsi"/>
              </w:rPr>
            </w:pPr>
            <w:r>
              <w:rPr>
                <w:rFonts w:asciiTheme="minorHAnsi" w:hAnsiTheme="minorHAnsi" w:cstheme="minorHAnsi"/>
              </w:rPr>
              <w:t xml:space="preserve"> Pietro Aricò</w:t>
            </w:r>
          </w:p>
        </w:tc>
        <w:tc>
          <w:tcPr>
            <w:tcW w:w="2140" w:type="dxa"/>
            <w:tcBorders>
              <w:top w:val="single" w:sz="4" w:space="0" w:color="4E88C7"/>
              <w:bottom w:val="single" w:sz="4" w:space="0" w:color="4E88C7"/>
            </w:tcBorders>
            <w:shd w:val="clear" w:color="auto" w:fill="auto"/>
          </w:tcPr>
          <w:p w14:paraId="3446098B" w14:textId="22FC1461" w:rsidR="0006406C" w:rsidRDefault="0006406C" w:rsidP="0006406C">
            <w:pPr>
              <w:pStyle w:val="TableData"/>
              <w:rPr>
                <w:rFonts w:asciiTheme="minorHAnsi" w:hAnsiTheme="minorHAnsi" w:cstheme="minorHAnsi"/>
              </w:rPr>
            </w:pPr>
            <w:r>
              <w:rPr>
                <w:rFonts w:asciiTheme="minorHAnsi" w:hAnsiTheme="minorHAnsi" w:cstheme="minorHAnsi"/>
              </w:rPr>
              <w:t>Ready to submit to the System</w:t>
            </w:r>
          </w:p>
        </w:tc>
      </w:tr>
      <w:tr w:rsidR="0006406C" w14:paraId="3AA28211" w14:textId="77777777" w:rsidTr="00E62F53">
        <w:tc>
          <w:tcPr>
            <w:tcW w:w="1612" w:type="dxa"/>
            <w:tcBorders>
              <w:top w:val="single" w:sz="4" w:space="0" w:color="4E88C7"/>
              <w:bottom w:val="single" w:sz="4" w:space="0" w:color="4E88C7"/>
            </w:tcBorders>
            <w:shd w:val="clear" w:color="auto" w:fill="auto"/>
          </w:tcPr>
          <w:p w14:paraId="5BD8C88B" w14:textId="154BC616" w:rsidR="0006406C" w:rsidRDefault="0006406C" w:rsidP="0006406C">
            <w:pPr>
              <w:pStyle w:val="TableData"/>
              <w:rPr>
                <w:rFonts w:asciiTheme="minorHAnsi" w:hAnsiTheme="minorHAnsi" w:cstheme="minorHAnsi"/>
              </w:rPr>
            </w:pPr>
            <w:r>
              <w:rPr>
                <w:rFonts w:asciiTheme="minorHAnsi" w:hAnsiTheme="minorHAnsi" w:cstheme="minorHAnsi"/>
              </w:rPr>
              <w:t>00.02.01</w:t>
            </w:r>
          </w:p>
        </w:tc>
        <w:tc>
          <w:tcPr>
            <w:tcW w:w="1612" w:type="dxa"/>
            <w:tcBorders>
              <w:top w:val="single" w:sz="4" w:space="0" w:color="4E88C7"/>
              <w:bottom w:val="single" w:sz="4" w:space="0" w:color="4E88C7"/>
            </w:tcBorders>
            <w:shd w:val="clear" w:color="auto" w:fill="auto"/>
          </w:tcPr>
          <w:p w14:paraId="269263F9" w14:textId="65DB4D6F" w:rsidR="0006406C" w:rsidRDefault="0006406C" w:rsidP="0006406C">
            <w:pPr>
              <w:pStyle w:val="TableData"/>
              <w:rPr>
                <w:rFonts w:asciiTheme="minorHAnsi" w:hAnsiTheme="minorHAnsi" w:cstheme="minorHAnsi"/>
              </w:rPr>
            </w:pPr>
            <w:r>
              <w:rPr>
                <w:rFonts w:asciiTheme="minorHAnsi" w:hAnsiTheme="minorHAnsi" w:cstheme="minorHAnsi"/>
              </w:rPr>
              <w:t>2022-05-11</w:t>
            </w:r>
          </w:p>
        </w:tc>
        <w:tc>
          <w:tcPr>
            <w:tcW w:w="1855" w:type="dxa"/>
            <w:tcBorders>
              <w:top w:val="single" w:sz="4" w:space="0" w:color="4E88C7"/>
              <w:bottom w:val="single" w:sz="4" w:space="0" w:color="4E88C7"/>
            </w:tcBorders>
            <w:shd w:val="clear" w:color="auto" w:fill="auto"/>
          </w:tcPr>
          <w:p w14:paraId="59121B60" w14:textId="692A808B" w:rsidR="0006406C" w:rsidRDefault="0006406C" w:rsidP="0006406C">
            <w:pPr>
              <w:pStyle w:val="TableData"/>
              <w:rPr>
                <w:rFonts w:asciiTheme="minorHAnsi" w:hAnsiTheme="minorHAnsi" w:cstheme="minorHAnsi"/>
              </w:rPr>
            </w:pPr>
            <w:r>
              <w:rPr>
                <w:rFonts w:asciiTheme="minorHAnsi" w:hAnsiTheme="minorHAnsi" w:cstheme="minorHAnsi"/>
              </w:rPr>
              <w:t>3</w:t>
            </w:r>
            <w:r w:rsidRPr="0006406C">
              <w:rPr>
                <w:rFonts w:asciiTheme="minorHAnsi" w:hAnsiTheme="minorHAnsi" w:cstheme="minorHAnsi"/>
                <w:vertAlign w:val="superscript"/>
              </w:rPr>
              <w:t>rd</w:t>
            </w:r>
            <w:r>
              <w:rPr>
                <w:rFonts w:asciiTheme="minorHAnsi" w:hAnsiTheme="minorHAnsi" w:cstheme="minorHAnsi"/>
              </w:rPr>
              <w:t xml:space="preserve"> round revision</w:t>
            </w:r>
          </w:p>
        </w:tc>
        <w:tc>
          <w:tcPr>
            <w:tcW w:w="1995" w:type="dxa"/>
            <w:tcBorders>
              <w:top w:val="single" w:sz="4" w:space="0" w:color="4E88C7"/>
              <w:bottom w:val="single" w:sz="4" w:space="0" w:color="4E88C7"/>
            </w:tcBorders>
            <w:shd w:val="clear" w:color="auto" w:fill="auto"/>
          </w:tcPr>
          <w:p w14:paraId="26B11C80" w14:textId="539A13F4" w:rsidR="0006406C" w:rsidRDefault="0006406C" w:rsidP="0006406C">
            <w:pPr>
              <w:pStyle w:val="TableData"/>
              <w:rPr>
                <w:rFonts w:asciiTheme="minorHAnsi" w:hAnsiTheme="minorHAnsi" w:cstheme="minorHAnsi"/>
              </w:rPr>
            </w:pPr>
            <w:r>
              <w:rPr>
                <w:rFonts w:asciiTheme="minorHAnsi" w:hAnsiTheme="minorHAnsi" w:cstheme="minorHAnsi"/>
              </w:rPr>
              <w:t>Pietro Aricò</w:t>
            </w:r>
            <w:r w:rsidR="00BA232D">
              <w:rPr>
                <w:rFonts w:asciiTheme="minorHAnsi" w:hAnsiTheme="minorHAnsi" w:cstheme="minorHAnsi"/>
              </w:rPr>
              <w:t>/Giulia Cartocci</w:t>
            </w:r>
          </w:p>
        </w:tc>
        <w:tc>
          <w:tcPr>
            <w:tcW w:w="2140" w:type="dxa"/>
            <w:tcBorders>
              <w:top w:val="single" w:sz="4" w:space="0" w:color="4E88C7"/>
              <w:bottom w:val="single" w:sz="4" w:space="0" w:color="4E88C7"/>
            </w:tcBorders>
            <w:shd w:val="clear" w:color="auto" w:fill="auto"/>
          </w:tcPr>
          <w:p w14:paraId="739F202E" w14:textId="7258B3DA" w:rsidR="0006406C" w:rsidRDefault="00821405" w:rsidP="0006406C">
            <w:pPr>
              <w:pStyle w:val="TableData"/>
              <w:rPr>
                <w:rFonts w:asciiTheme="minorHAnsi" w:hAnsiTheme="minorHAnsi" w:cstheme="minorHAnsi"/>
              </w:rPr>
            </w:pPr>
            <w:r>
              <w:rPr>
                <w:rFonts w:asciiTheme="minorHAnsi" w:hAnsiTheme="minorHAnsi" w:cstheme="minorHAnsi"/>
              </w:rPr>
              <w:t>Address SJU comments, and adapt the document in the new template</w:t>
            </w:r>
          </w:p>
        </w:tc>
      </w:tr>
      <w:tr w:rsidR="00641EDF" w14:paraId="0B1F0E35" w14:textId="77777777" w:rsidTr="006B1CB9">
        <w:tc>
          <w:tcPr>
            <w:tcW w:w="1612" w:type="dxa"/>
            <w:tcBorders>
              <w:top w:val="single" w:sz="4" w:space="0" w:color="4E88C7"/>
              <w:bottom w:val="single" w:sz="8" w:space="0" w:color="4E88C7"/>
            </w:tcBorders>
            <w:shd w:val="clear" w:color="auto" w:fill="auto"/>
          </w:tcPr>
          <w:p w14:paraId="54A8C2F9" w14:textId="5B670015" w:rsidR="00641EDF" w:rsidRDefault="00641EDF" w:rsidP="0006406C">
            <w:pPr>
              <w:pStyle w:val="TableData"/>
              <w:rPr>
                <w:rFonts w:asciiTheme="minorHAnsi" w:hAnsiTheme="minorHAnsi" w:cstheme="minorHAnsi"/>
              </w:rPr>
            </w:pPr>
            <w:r>
              <w:rPr>
                <w:rFonts w:asciiTheme="minorHAnsi" w:hAnsiTheme="minorHAnsi" w:cstheme="minorHAnsi"/>
              </w:rPr>
              <w:t>00.03.00</w:t>
            </w:r>
          </w:p>
        </w:tc>
        <w:tc>
          <w:tcPr>
            <w:tcW w:w="1612" w:type="dxa"/>
            <w:tcBorders>
              <w:top w:val="single" w:sz="4" w:space="0" w:color="4E88C7"/>
              <w:bottom w:val="single" w:sz="8" w:space="0" w:color="4E88C7"/>
            </w:tcBorders>
            <w:shd w:val="clear" w:color="auto" w:fill="auto"/>
          </w:tcPr>
          <w:p w14:paraId="694CBDC5" w14:textId="20C7D6D0" w:rsidR="00641EDF" w:rsidRDefault="00641EDF" w:rsidP="0006406C">
            <w:pPr>
              <w:pStyle w:val="TableData"/>
              <w:rPr>
                <w:rFonts w:asciiTheme="minorHAnsi" w:hAnsiTheme="minorHAnsi" w:cstheme="minorHAnsi"/>
              </w:rPr>
            </w:pPr>
            <w:r>
              <w:rPr>
                <w:rFonts w:asciiTheme="minorHAnsi" w:hAnsiTheme="minorHAnsi" w:cstheme="minorHAnsi"/>
              </w:rPr>
              <w:t>2022-05-13</w:t>
            </w:r>
          </w:p>
        </w:tc>
        <w:tc>
          <w:tcPr>
            <w:tcW w:w="1855" w:type="dxa"/>
            <w:tcBorders>
              <w:top w:val="single" w:sz="4" w:space="0" w:color="4E88C7"/>
              <w:bottom w:val="single" w:sz="8" w:space="0" w:color="4E88C7"/>
            </w:tcBorders>
            <w:shd w:val="clear" w:color="auto" w:fill="auto"/>
          </w:tcPr>
          <w:p w14:paraId="40191D50" w14:textId="3FD1E97F" w:rsidR="00641EDF" w:rsidRDefault="00641EDF" w:rsidP="0006406C">
            <w:pPr>
              <w:pStyle w:val="TableData"/>
              <w:rPr>
                <w:rFonts w:asciiTheme="minorHAnsi" w:hAnsiTheme="minorHAnsi" w:cstheme="minorHAnsi"/>
              </w:rPr>
            </w:pPr>
            <w:r>
              <w:rPr>
                <w:rFonts w:asciiTheme="minorHAnsi" w:hAnsiTheme="minorHAnsi" w:cstheme="minorHAnsi"/>
              </w:rPr>
              <w:t>Final version</w:t>
            </w:r>
          </w:p>
        </w:tc>
        <w:tc>
          <w:tcPr>
            <w:tcW w:w="1995" w:type="dxa"/>
            <w:tcBorders>
              <w:top w:val="single" w:sz="4" w:space="0" w:color="4E88C7"/>
              <w:bottom w:val="single" w:sz="8" w:space="0" w:color="4E88C7"/>
            </w:tcBorders>
            <w:shd w:val="clear" w:color="auto" w:fill="auto"/>
          </w:tcPr>
          <w:p w14:paraId="1E864B60" w14:textId="49FB4FD2" w:rsidR="00641EDF" w:rsidRDefault="00641EDF" w:rsidP="0006406C">
            <w:pPr>
              <w:pStyle w:val="TableData"/>
              <w:rPr>
                <w:rFonts w:asciiTheme="minorHAnsi" w:hAnsiTheme="minorHAnsi" w:cstheme="minorHAnsi"/>
              </w:rPr>
            </w:pPr>
            <w:r>
              <w:rPr>
                <w:rFonts w:asciiTheme="minorHAnsi" w:hAnsiTheme="minorHAnsi" w:cstheme="minorHAnsi"/>
              </w:rPr>
              <w:t>Mobyen</w:t>
            </w:r>
          </w:p>
        </w:tc>
        <w:tc>
          <w:tcPr>
            <w:tcW w:w="2140" w:type="dxa"/>
            <w:tcBorders>
              <w:top w:val="single" w:sz="4" w:space="0" w:color="4E88C7"/>
              <w:bottom w:val="single" w:sz="8" w:space="0" w:color="4E88C7"/>
            </w:tcBorders>
            <w:shd w:val="clear" w:color="auto" w:fill="auto"/>
          </w:tcPr>
          <w:p w14:paraId="21065607" w14:textId="33B5719D" w:rsidR="00641EDF" w:rsidRDefault="00641EDF" w:rsidP="0006406C">
            <w:pPr>
              <w:pStyle w:val="TableData"/>
              <w:rPr>
                <w:rFonts w:asciiTheme="minorHAnsi" w:hAnsiTheme="minorHAnsi" w:cstheme="minorHAnsi"/>
              </w:rPr>
            </w:pPr>
            <w:r>
              <w:rPr>
                <w:rFonts w:asciiTheme="minorHAnsi" w:hAnsiTheme="minorHAnsi" w:cstheme="minorHAnsi"/>
              </w:rPr>
              <w:t>Review the ready for submission</w:t>
            </w:r>
          </w:p>
        </w:tc>
      </w:tr>
    </w:tbl>
    <w:p w14:paraId="2B60763F" w14:textId="77777777" w:rsidR="00C105BE" w:rsidRDefault="00C105BE" w:rsidP="00C105BE">
      <w:pPr>
        <w:pStyle w:val="TableHeader"/>
        <w:rPr>
          <w:bCs/>
        </w:rPr>
      </w:pPr>
    </w:p>
    <w:p w14:paraId="2EA51851" w14:textId="77777777" w:rsidR="00C105BE" w:rsidRDefault="00C105BE" w:rsidP="00C105BE">
      <w:pPr>
        <w:pStyle w:val="TableHeader"/>
        <w:rPr>
          <w:i/>
          <w:iCs/>
          <w:vanish/>
          <w:color w:val="333399"/>
          <w:sz w:val="18"/>
        </w:rPr>
      </w:pPr>
      <w:r>
        <w:rPr>
          <w:bCs/>
        </w:rPr>
        <w:t xml:space="preserve">Copyright Statement </w:t>
      </w:r>
    </w:p>
    <w:p w14:paraId="0EA2B591" w14:textId="525E0255" w:rsidR="00C105BE" w:rsidRPr="00C105BE" w:rsidRDefault="00C105BE" w:rsidP="00C105BE">
      <w:pPr>
        <w:pStyle w:val="BodyText"/>
        <w:rPr>
          <w:bCs/>
        </w:rPr>
      </w:pPr>
      <w:r w:rsidRPr="00C105BE">
        <w:t>© (</w:t>
      </w:r>
      <w:r w:rsidR="001930B5">
        <w:t>2022</w:t>
      </w:r>
      <w:r w:rsidRPr="00C105BE">
        <w:t>) – (</w:t>
      </w:r>
      <w:r w:rsidR="001930B5">
        <w:rPr>
          <w:highlight w:val="white"/>
        </w:rPr>
        <w:t>ARTIMATION Consortium</w:t>
      </w:r>
      <w:r w:rsidRPr="00C105BE">
        <w:t>). All rig</w:t>
      </w:r>
      <w:r w:rsidR="00173AF0">
        <w:t>hts reserved. Licensed to SESAR</w:t>
      </w:r>
      <w:r w:rsidRPr="00C105BE">
        <w:t>3 Joint Undertaking under conditions.</w:t>
      </w:r>
    </w:p>
    <w:p w14:paraId="131C42DC" w14:textId="77777777" w:rsidR="00C105BE" w:rsidRDefault="00C105BE" w:rsidP="009859ED">
      <w:pPr>
        <w:pStyle w:val="TableHeader"/>
        <w:rPr>
          <w:bCs/>
        </w:rPr>
      </w:pPr>
    </w:p>
    <w:p w14:paraId="3E3DBAD4" w14:textId="1087FFE9" w:rsidR="004547F4" w:rsidRPr="002C69CC" w:rsidRDefault="009621F5" w:rsidP="00D67BE7">
      <w:pPr>
        <w:pStyle w:val="DocTitle"/>
      </w:pPr>
      <w:fldSimple w:instr=" DOCPROPERTY  ProjectAcronym  \* MERGEFORMAT ">
        <w:r w:rsidR="0015376C" w:rsidRPr="0015376C">
          <w:t>ARTIMATION</w:t>
        </w:r>
      </w:fldSimple>
      <w:r w:rsidR="00CF3C60" w:rsidRPr="002C69CC">
        <w:t xml:space="preserve"> </w:t>
      </w:r>
    </w:p>
    <w:p w14:paraId="613526BD" w14:textId="7914C9FD" w:rsidR="00CF3C60" w:rsidRDefault="00FD6F90" w:rsidP="00CF3C60">
      <w:pPr>
        <w:pStyle w:val="DocSubtitle"/>
      </w:pPr>
      <w:r>
        <w:fldChar w:fldCharType="begin"/>
      </w:r>
      <w:r>
        <w:instrText xml:space="preserve"> DOCPROPERTY  Subject  \* MERGEFORMAT </w:instrText>
      </w:r>
      <w:r>
        <w:fldChar w:fldCharType="separate"/>
      </w:r>
      <w:r w:rsidR="003A37A2">
        <w:t>[</w:t>
      </w:r>
      <w:r w:rsidR="0015376C" w:rsidRPr="0015376C">
        <w:t xml:space="preserve"> Transparent Artificial Intelligence and Automation to Air Traffic Management Systems</w:t>
      </w:r>
      <w:r w:rsidR="003A37A2">
        <w:t>]</w:t>
      </w:r>
      <w:r>
        <w:fldChar w:fldCharType="end"/>
      </w:r>
    </w:p>
    <w:p w14:paraId="4F1C04B0" w14:textId="77777777" w:rsidR="00BA1190" w:rsidRPr="009562F5" w:rsidRDefault="00BA1190" w:rsidP="00CF3C60">
      <w:pPr>
        <w:pStyle w:val="DocSubtitle"/>
      </w:pPr>
    </w:p>
    <w:p w14:paraId="00ECC096" w14:textId="7BA3DCB6" w:rsidR="00CF3C60" w:rsidRPr="001F599B" w:rsidRDefault="001F599B" w:rsidP="001F599B">
      <w:pPr>
        <w:pStyle w:val="TextforHorizon2020"/>
        <w:jc w:val="both"/>
        <w:rPr>
          <w:sz w:val="22"/>
          <w:szCs w:val="22"/>
        </w:rPr>
      </w:pPr>
      <w:r w:rsidRPr="001F599B">
        <w:rPr>
          <w:sz w:val="22"/>
          <w:szCs w:val="22"/>
        </w:rPr>
        <w:t xml:space="preserve">This </w:t>
      </w:r>
      <w:r w:rsidR="00821405">
        <w:rPr>
          <w:sz w:val="22"/>
          <w:szCs w:val="22"/>
        </w:rPr>
        <w:t xml:space="preserve">D4.1 </w:t>
      </w:r>
      <w:r w:rsidR="00821405">
        <w:rPr>
          <w:rFonts w:asciiTheme="minorHAnsi" w:hAnsiTheme="minorHAnsi" w:cstheme="minorHAnsi"/>
          <w:sz w:val="22"/>
          <w:szCs w:val="22"/>
        </w:rPr>
        <w:t>“</w:t>
      </w:r>
      <w:r w:rsidR="00821405" w:rsidRPr="008C6589">
        <w:rPr>
          <w:rFonts w:asciiTheme="minorHAnsi" w:hAnsiTheme="minorHAnsi" w:cstheme="minorHAnsi"/>
          <w:i/>
          <w:iCs/>
          <w:sz w:val="22"/>
          <w:szCs w:val="22"/>
        </w:rPr>
        <w:t>Neurophysiological measures related to specific mental and emotional states</w:t>
      </w:r>
      <w:r w:rsidR="00821405">
        <w:rPr>
          <w:rFonts w:asciiTheme="minorHAnsi" w:hAnsiTheme="minorHAnsi" w:cstheme="minorHAnsi"/>
          <w:sz w:val="22"/>
          <w:szCs w:val="22"/>
        </w:rPr>
        <w:t>”</w:t>
      </w:r>
      <w:r w:rsidRPr="001F599B">
        <w:rPr>
          <w:sz w:val="22"/>
          <w:szCs w:val="22"/>
        </w:rPr>
        <w:t xml:space="preserve"> is part of a project that has received funding from the SESAR Joint Undertaking under grant agreement No </w:t>
      </w:r>
      <w:r w:rsidR="00B26E4E">
        <w:rPr>
          <w:sz w:val="22"/>
          <w:szCs w:val="22"/>
        </w:rPr>
        <w:fldChar w:fldCharType="begin"/>
      </w:r>
      <w:r w:rsidR="00B26E4E">
        <w:rPr>
          <w:sz w:val="22"/>
          <w:szCs w:val="22"/>
        </w:rPr>
        <w:instrText xml:space="preserve"> DOCPROPERTY  GrantNumber  \* MERGEFORMAT </w:instrText>
      </w:r>
      <w:r w:rsidR="00B26E4E">
        <w:rPr>
          <w:sz w:val="22"/>
          <w:szCs w:val="22"/>
        </w:rPr>
        <w:fldChar w:fldCharType="separate"/>
      </w:r>
      <w:r w:rsidR="003A37A2">
        <w:rPr>
          <w:sz w:val="22"/>
          <w:szCs w:val="22"/>
        </w:rPr>
        <w:t>[</w:t>
      </w:r>
      <w:r w:rsidR="0015376C" w:rsidRPr="0015376C">
        <w:rPr>
          <w:sz w:val="22"/>
          <w:szCs w:val="22"/>
        </w:rPr>
        <w:t>894238</w:t>
      </w:r>
      <w:r w:rsidR="003A37A2">
        <w:rPr>
          <w:sz w:val="22"/>
          <w:szCs w:val="22"/>
        </w:rPr>
        <w:t>]</w:t>
      </w:r>
      <w:r w:rsidR="00B26E4E">
        <w:rPr>
          <w:sz w:val="22"/>
          <w:szCs w:val="22"/>
        </w:rPr>
        <w:fldChar w:fldCharType="end"/>
      </w:r>
      <w:r w:rsidRPr="001F599B">
        <w:rPr>
          <w:sz w:val="22"/>
          <w:szCs w:val="22"/>
        </w:rPr>
        <w:t xml:space="preserve"> under European Union’s Horizon 2020 research and innovation programme.</w:t>
      </w:r>
    </w:p>
    <w:p w14:paraId="15A4FC82" w14:textId="77777777" w:rsidR="00CF3C60" w:rsidRDefault="008D1632" w:rsidP="008F3187">
      <w:r>
        <w:rPr>
          <w:noProof/>
          <w:lang w:eastAsia="en-GB"/>
        </w:rPr>
        <w:drawing>
          <wp:inline distT="0" distB="0" distL="0" distR="0" wp14:anchorId="0AD59957" wp14:editId="3F684618">
            <wp:extent cx="571500" cy="381000"/>
            <wp:effectExtent l="0" t="0" r="0" b="0"/>
            <wp:docPr id="1" name="Picture 39" descr="EU logo low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U logo low r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 cy="381000"/>
                    </a:xfrm>
                    <a:prstGeom prst="rect">
                      <a:avLst/>
                    </a:prstGeom>
                    <a:noFill/>
                    <a:ln>
                      <a:noFill/>
                    </a:ln>
                  </pic:spPr>
                </pic:pic>
              </a:graphicData>
            </a:graphic>
          </wp:inline>
        </w:drawing>
      </w:r>
    </w:p>
    <w:p w14:paraId="7577BBAD" w14:textId="7DA02F92" w:rsidR="00BA1190" w:rsidRDefault="00BA1190" w:rsidP="008F3187"/>
    <w:p w14:paraId="054DFD29" w14:textId="77777777" w:rsidR="00821405" w:rsidRDefault="00821405" w:rsidP="008F3187"/>
    <w:p w14:paraId="0D67C6E3" w14:textId="77777777" w:rsidR="00CF3C60" w:rsidRDefault="00CF3C60" w:rsidP="00D67BE7">
      <w:pPr>
        <w:pStyle w:val="HeadingUnderline"/>
      </w:pPr>
      <w:bookmarkStart w:id="0" w:name="_Toc444858040"/>
      <w:bookmarkStart w:id="1" w:name="_Toc103332729"/>
      <w:r>
        <w:t>Abstract</w:t>
      </w:r>
      <w:bookmarkEnd w:id="0"/>
      <w:bookmarkEnd w:id="1"/>
      <w:r w:rsidR="0009768B">
        <w:t xml:space="preserve"> </w:t>
      </w:r>
    </w:p>
    <w:p w14:paraId="7C88F118" w14:textId="77777777" w:rsidR="00821405" w:rsidRPr="00757C58" w:rsidRDefault="00821405" w:rsidP="00821405">
      <w:pPr>
        <w:pStyle w:val="BodyText"/>
        <w:rPr>
          <w:rFonts w:asciiTheme="minorHAnsi" w:hAnsiTheme="minorHAnsi" w:cstheme="minorBidi"/>
        </w:rPr>
      </w:pPr>
      <w:r w:rsidRPr="00282B40">
        <w:t>The present deliverable aims at</w:t>
      </w:r>
      <w:r>
        <w:t xml:space="preserve"> describing the neurophysiological measures that will be employed during the validation activities to provide objective measures of effectiveness (i.e. mental workload and stress) and acceptability (approach-withdrawal) of XAI solutions. In particular, there will be reported the neurophysiological features that are responsive to the previously mentioned mental and emotional states, the processing chain to obtain those features, and the recording systems that will be used to record the related biosignals</w:t>
      </w:r>
      <w:r w:rsidRPr="53B5377D">
        <w:t>.</w:t>
      </w:r>
    </w:p>
    <w:p w14:paraId="7988CD68" w14:textId="77777777" w:rsidR="00FB758B" w:rsidRDefault="00FA0245" w:rsidP="00B7435F">
      <w:pPr>
        <w:pStyle w:val="BodyText"/>
      </w:pPr>
      <w:r>
        <w:br w:type="page"/>
      </w:r>
    </w:p>
    <w:p w14:paraId="103CFEE1" w14:textId="77777777" w:rsidR="005D1154" w:rsidRDefault="005D1154" w:rsidP="008F3187">
      <w:pPr>
        <w:pStyle w:val="Header"/>
      </w:pPr>
      <w:r>
        <w:lastRenderedPageBreak/>
        <w:t>Table of Contents</w:t>
      </w:r>
    </w:p>
    <w:p w14:paraId="0F0AA707" w14:textId="77777777" w:rsidR="005D1154" w:rsidRDefault="005D1154" w:rsidP="008F3187">
      <w:pPr>
        <w:pStyle w:val="Header"/>
      </w:pPr>
    </w:p>
    <w:p w14:paraId="7342178E" w14:textId="6D02DF27" w:rsidR="00095DBD" w:rsidRDefault="000C67DC">
      <w:pPr>
        <w:pStyle w:val="TOC2"/>
        <w:tabs>
          <w:tab w:val="right" w:leader="dot" w:pos="9060"/>
        </w:tabs>
        <w:rPr>
          <w:rFonts w:asciiTheme="minorHAnsi" w:eastAsiaTheme="minorEastAsia" w:hAnsiTheme="minorHAnsi" w:cs="Vrinda"/>
          <w:b w:val="0"/>
          <w:bCs w:val="0"/>
          <w:noProof/>
          <w:color w:val="auto"/>
          <w:sz w:val="24"/>
          <w:szCs w:val="30"/>
          <w:lang w:val="en-SE" w:eastAsia="en-GB" w:bidi="bn-IN"/>
        </w:rPr>
      </w:pPr>
      <w:r>
        <w:fldChar w:fldCharType="begin"/>
      </w:r>
      <w:r>
        <w:instrText xml:space="preserve"> TOC \o "1-</w:instrText>
      </w:r>
      <w:r w:rsidR="00DC0AE2">
        <w:instrText>2</w:instrText>
      </w:r>
      <w:r>
        <w:instrText xml:space="preserve">" \h \z \t "Heading 2;2;Heading 3;3;Heading 4;4;Heading 5;5;Appendix Heading 2;2;Appendix Heading 3;3" </w:instrText>
      </w:r>
      <w:r>
        <w:fldChar w:fldCharType="separate"/>
      </w:r>
      <w:hyperlink w:anchor="_Toc103332729" w:history="1">
        <w:r w:rsidR="00095DBD" w:rsidRPr="00E951F8">
          <w:rPr>
            <w:rStyle w:val="Hyperlink"/>
            <w:noProof/>
          </w:rPr>
          <w:t>Abstract</w:t>
        </w:r>
        <w:r w:rsidR="00095DBD">
          <w:rPr>
            <w:noProof/>
            <w:webHidden/>
          </w:rPr>
          <w:tab/>
        </w:r>
        <w:r w:rsidR="00095DBD">
          <w:rPr>
            <w:noProof/>
            <w:webHidden/>
          </w:rPr>
          <w:fldChar w:fldCharType="begin"/>
        </w:r>
        <w:r w:rsidR="00095DBD">
          <w:rPr>
            <w:noProof/>
            <w:webHidden/>
          </w:rPr>
          <w:instrText xml:space="preserve"> PAGEREF _Toc103332729 \h </w:instrText>
        </w:r>
        <w:r w:rsidR="00095DBD">
          <w:rPr>
            <w:noProof/>
            <w:webHidden/>
          </w:rPr>
        </w:r>
        <w:r w:rsidR="00095DBD">
          <w:rPr>
            <w:noProof/>
            <w:webHidden/>
          </w:rPr>
          <w:fldChar w:fldCharType="separate"/>
        </w:r>
        <w:r w:rsidR="00095DBD">
          <w:rPr>
            <w:noProof/>
            <w:webHidden/>
          </w:rPr>
          <w:t>4</w:t>
        </w:r>
        <w:r w:rsidR="00095DBD">
          <w:rPr>
            <w:noProof/>
            <w:webHidden/>
          </w:rPr>
          <w:fldChar w:fldCharType="end"/>
        </w:r>
      </w:hyperlink>
    </w:p>
    <w:p w14:paraId="498E9560" w14:textId="316511AE" w:rsidR="00095DBD" w:rsidRDefault="00095DBD">
      <w:pPr>
        <w:pStyle w:val="TOC1"/>
        <w:rPr>
          <w:rFonts w:asciiTheme="minorHAnsi" w:eastAsiaTheme="minorEastAsia" w:hAnsiTheme="minorHAnsi" w:cs="Vrinda"/>
          <w:b w:val="0"/>
          <w:bCs w:val="0"/>
          <w:i w:val="0"/>
          <w:iCs w:val="0"/>
          <w:noProof/>
          <w:color w:val="auto"/>
          <w:szCs w:val="30"/>
          <w:lang w:val="en-SE" w:eastAsia="en-GB" w:bidi="bn-IN"/>
        </w:rPr>
      </w:pPr>
      <w:hyperlink w:anchor="_Toc103332730" w:history="1">
        <w:r w:rsidRPr="00E951F8">
          <w:rPr>
            <w:rStyle w:val="Hyperlink"/>
            <w:rFonts w:cstheme="minorHAnsi"/>
            <w:noProof/>
          </w:rPr>
          <w:t>1</w:t>
        </w:r>
        <w:r>
          <w:rPr>
            <w:rFonts w:asciiTheme="minorHAnsi" w:eastAsiaTheme="minorEastAsia" w:hAnsiTheme="minorHAnsi" w:cs="Vrinda"/>
            <w:b w:val="0"/>
            <w:bCs w:val="0"/>
            <w:i w:val="0"/>
            <w:iCs w:val="0"/>
            <w:noProof/>
            <w:color w:val="auto"/>
            <w:szCs w:val="30"/>
            <w:lang w:val="en-SE" w:eastAsia="en-GB" w:bidi="bn-IN"/>
          </w:rPr>
          <w:tab/>
        </w:r>
        <w:r w:rsidRPr="00E951F8">
          <w:rPr>
            <w:rStyle w:val="Hyperlink"/>
            <w:rFonts w:cstheme="minorHAnsi"/>
            <w:noProof/>
          </w:rPr>
          <w:t>Neurophysiological measures</w:t>
        </w:r>
        <w:r>
          <w:rPr>
            <w:noProof/>
            <w:webHidden/>
          </w:rPr>
          <w:tab/>
        </w:r>
        <w:r>
          <w:rPr>
            <w:noProof/>
            <w:webHidden/>
          </w:rPr>
          <w:fldChar w:fldCharType="begin"/>
        </w:r>
        <w:r>
          <w:rPr>
            <w:noProof/>
            <w:webHidden/>
          </w:rPr>
          <w:instrText xml:space="preserve"> PAGEREF _Toc103332730 \h </w:instrText>
        </w:r>
        <w:r>
          <w:rPr>
            <w:noProof/>
            <w:webHidden/>
          </w:rPr>
        </w:r>
        <w:r>
          <w:rPr>
            <w:noProof/>
            <w:webHidden/>
          </w:rPr>
          <w:fldChar w:fldCharType="separate"/>
        </w:r>
        <w:r>
          <w:rPr>
            <w:noProof/>
            <w:webHidden/>
          </w:rPr>
          <w:t>7</w:t>
        </w:r>
        <w:r>
          <w:rPr>
            <w:noProof/>
            <w:webHidden/>
          </w:rPr>
          <w:fldChar w:fldCharType="end"/>
        </w:r>
      </w:hyperlink>
    </w:p>
    <w:p w14:paraId="7E056833" w14:textId="69D82ACC" w:rsidR="00095DBD" w:rsidRDefault="00095DBD">
      <w:pPr>
        <w:pStyle w:val="TOC2"/>
        <w:tabs>
          <w:tab w:val="left" w:pos="880"/>
          <w:tab w:val="right" w:leader="dot" w:pos="9060"/>
        </w:tabs>
        <w:rPr>
          <w:rFonts w:asciiTheme="minorHAnsi" w:eastAsiaTheme="minorEastAsia" w:hAnsiTheme="minorHAnsi" w:cs="Vrinda"/>
          <w:b w:val="0"/>
          <w:bCs w:val="0"/>
          <w:noProof/>
          <w:color w:val="auto"/>
          <w:sz w:val="24"/>
          <w:szCs w:val="30"/>
          <w:lang w:val="en-SE" w:eastAsia="en-GB" w:bidi="bn-IN"/>
        </w:rPr>
      </w:pPr>
      <w:hyperlink w:anchor="_Toc103332731" w:history="1">
        <w:r w:rsidRPr="00E951F8">
          <w:rPr>
            <w:rStyle w:val="Hyperlink"/>
            <w:noProof/>
          </w:rPr>
          <w:t>1.1</w:t>
        </w:r>
        <w:r>
          <w:rPr>
            <w:rFonts w:asciiTheme="minorHAnsi" w:eastAsiaTheme="minorEastAsia" w:hAnsiTheme="minorHAnsi" w:cs="Vrinda"/>
            <w:b w:val="0"/>
            <w:bCs w:val="0"/>
            <w:noProof/>
            <w:color w:val="auto"/>
            <w:sz w:val="24"/>
            <w:szCs w:val="30"/>
            <w:lang w:val="en-SE" w:eastAsia="en-GB" w:bidi="bn-IN"/>
          </w:rPr>
          <w:tab/>
        </w:r>
        <w:r w:rsidRPr="00E951F8">
          <w:rPr>
            <w:rStyle w:val="Hyperlink"/>
            <w:noProof/>
          </w:rPr>
          <w:t>Neurophysiological measures in relation with project objectives</w:t>
        </w:r>
        <w:r>
          <w:rPr>
            <w:noProof/>
            <w:webHidden/>
          </w:rPr>
          <w:tab/>
        </w:r>
        <w:r>
          <w:rPr>
            <w:noProof/>
            <w:webHidden/>
          </w:rPr>
          <w:fldChar w:fldCharType="begin"/>
        </w:r>
        <w:r>
          <w:rPr>
            <w:noProof/>
            <w:webHidden/>
          </w:rPr>
          <w:instrText xml:space="preserve"> PAGEREF _Toc103332731 \h </w:instrText>
        </w:r>
        <w:r>
          <w:rPr>
            <w:noProof/>
            <w:webHidden/>
          </w:rPr>
        </w:r>
        <w:r>
          <w:rPr>
            <w:noProof/>
            <w:webHidden/>
          </w:rPr>
          <w:fldChar w:fldCharType="separate"/>
        </w:r>
        <w:r>
          <w:rPr>
            <w:noProof/>
            <w:webHidden/>
          </w:rPr>
          <w:t>7</w:t>
        </w:r>
        <w:r>
          <w:rPr>
            <w:noProof/>
            <w:webHidden/>
          </w:rPr>
          <w:fldChar w:fldCharType="end"/>
        </w:r>
      </w:hyperlink>
    </w:p>
    <w:p w14:paraId="307B750C" w14:textId="77D7AF1E" w:rsidR="00095DBD" w:rsidRDefault="00095DBD">
      <w:pPr>
        <w:pStyle w:val="TOC2"/>
        <w:tabs>
          <w:tab w:val="left" w:pos="880"/>
          <w:tab w:val="right" w:leader="dot" w:pos="9060"/>
        </w:tabs>
        <w:rPr>
          <w:rFonts w:asciiTheme="minorHAnsi" w:eastAsiaTheme="minorEastAsia" w:hAnsiTheme="minorHAnsi" w:cs="Vrinda"/>
          <w:b w:val="0"/>
          <w:bCs w:val="0"/>
          <w:noProof/>
          <w:color w:val="auto"/>
          <w:sz w:val="24"/>
          <w:szCs w:val="30"/>
          <w:lang w:val="en-SE" w:eastAsia="en-GB" w:bidi="bn-IN"/>
        </w:rPr>
      </w:pPr>
      <w:hyperlink w:anchor="_Toc103332732" w:history="1">
        <w:r w:rsidRPr="00E951F8">
          <w:rPr>
            <w:rStyle w:val="Hyperlink"/>
            <w:noProof/>
          </w:rPr>
          <w:t>1.2</w:t>
        </w:r>
        <w:r>
          <w:rPr>
            <w:rFonts w:asciiTheme="minorHAnsi" w:eastAsiaTheme="minorEastAsia" w:hAnsiTheme="minorHAnsi" w:cs="Vrinda"/>
            <w:b w:val="0"/>
            <w:bCs w:val="0"/>
            <w:noProof/>
            <w:color w:val="auto"/>
            <w:sz w:val="24"/>
            <w:szCs w:val="30"/>
            <w:lang w:val="en-SE" w:eastAsia="en-GB" w:bidi="bn-IN"/>
          </w:rPr>
          <w:tab/>
        </w:r>
        <w:r w:rsidRPr="00E951F8">
          <w:rPr>
            <w:rStyle w:val="Hyperlink"/>
            <w:noProof/>
          </w:rPr>
          <w:t>Electroencephalography – EEG</w:t>
        </w:r>
        <w:r>
          <w:rPr>
            <w:noProof/>
            <w:webHidden/>
          </w:rPr>
          <w:tab/>
        </w:r>
        <w:r>
          <w:rPr>
            <w:noProof/>
            <w:webHidden/>
          </w:rPr>
          <w:fldChar w:fldCharType="begin"/>
        </w:r>
        <w:r>
          <w:rPr>
            <w:noProof/>
            <w:webHidden/>
          </w:rPr>
          <w:instrText xml:space="preserve"> PAGEREF _Toc103332732 \h </w:instrText>
        </w:r>
        <w:r>
          <w:rPr>
            <w:noProof/>
            <w:webHidden/>
          </w:rPr>
        </w:r>
        <w:r>
          <w:rPr>
            <w:noProof/>
            <w:webHidden/>
          </w:rPr>
          <w:fldChar w:fldCharType="separate"/>
        </w:r>
        <w:r>
          <w:rPr>
            <w:noProof/>
            <w:webHidden/>
          </w:rPr>
          <w:t>10</w:t>
        </w:r>
        <w:r>
          <w:rPr>
            <w:noProof/>
            <w:webHidden/>
          </w:rPr>
          <w:fldChar w:fldCharType="end"/>
        </w:r>
      </w:hyperlink>
    </w:p>
    <w:p w14:paraId="0B462567" w14:textId="5AFC1D6E" w:rsidR="00095DBD" w:rsidRDefault="00095DBD">
      <w:pPr>
        <w:pStyle w:val="TOC2"/>
        <w:tabs>
          <w:tab w:val="left" w:pos="880"/>
          <w:tab w:val="right" w:leader="dot" w:pos="9060"/>
        </w:tabs>
        <w:rPr>
          <w:rFonts w:asciiTheme="minorHAnsi" w:eastAsiaTheme="minorEastAsia" w:hAnsiTheme="minorHAnsi" w:cs="Vrinda"/>
          <w:b w:val="0"/>
          <w:bCs w:val="0"/>
          <w:noProof/>
          <w:color w:val="auto"/>
          <w:sz w:val="24"/>
          <w:szCs w:val="30"/>
          <w:lang w:val="en-SE" w:eastAsia="en-GB" w:bidi="bn-IN"/>
        </w:rPr>
      </w:pPr>
      <w:hyperlink w:anchor="_Toc103332733" w:history="1">
        <w:r w:rsidRPr="00E951F8">
          <w:rPr>
            <w:rStyle w:val="Hyperlink"/>
            <w:noProof/>
          </w:rPr>
          <w:t>1.3</w:t>
        </w:r>
        <w:r>
          <w:rPr>
            <w:rFonts w:asciiTheme="minorHAnsi" w:eastAsiaTheme="minorEastAsia" w:hAnsiTheme="minorHAnsi" w:cs="Vrinda"/>
            <w:b w:val="0"/>
            <w:bCs w:val="0"/>
            <w:noProof/>
            <w:color w:val="auto"/>
            <w:sz w:val="24"/>
            <w:szCs w:val="30"/>
            <w:lang w:val="en-SE" w:eastAsia="en-GB" w:bidi="bn-IN"/>
          </w:rPr>
          <w:tab/>
        </w:r>
        <w:r w:rsidRPr="00E951F8">
          <w:rPr>
            <w:rStyle w:val="Hyperlink"/>
            <w:noProof/>
          </w:rPr>
          <w:t>Galvanic Skin Response – GSR</w:t>
        </w:r>
        <w:r>
          <w:rPr>
            <w:noProof/>
            <w:webHidden/>
          </w:rPr>
          <w:tab/>
        </w:r>
        <w:r>
          <w:rPr>
            <w:noProof/>
            <w:webHidden/>
          </w:rPr>
          <w:fldChar w:fldCharType="begin"/>
        </w:r>
        <w:r>
          <w:rPr>
            <w:noProof/>
            <w:webHidden/>
          </w:rPr>
          <w:instrText xml:space="preserve"> PAGEREF _Toc103332733 \h </w:instrText>
        </w:r>
        <w:r>
          <w:rPr>
            <w:noProof/>
            <w:webHidden/>
          </w:rPr>
        </w:r>
        <w:r>
          <w:rPr>
            <w:noProof/>
            <w:webHidden/>
          </w:rPr>
          <w:fldChar w:fldCharType="separate"/>
        </w:r>
        <w:r>
          <w:rPr>
            <w:noProof/>
            <w:webHidden/>
          </w:rPr>
          <w:t>14</w:t>
        </w:r>
        <w:r>
          <w:rPr>
            <w:noProof/>
            <w:webHidden/>
          </w:rPr>
          <w:fldChar w:fldCharType="end"/>
        </w:r>
      </w:hyperlink>
    </w:p>
    <w:p w14:paraId="1D15A44E" w14:textId="1D389C5A" w:rsidR="00095DBD" w:rsidRDefault="00095DBD">
      <w:pPr>
        <w:pStyle w:val="TOC1"/>
        <w:rPr>
          <w:rFonts w:asciiTheme="minorHAnsi" w:eastAsiaTheme="minorEastAsia" w:hAnsiTheme="minorHAnsi" w:cs="Vrinda"/>
          <w:b w:val="0"/>
          <w:bCs w:val="0"/>
          <w:i w:val="0"/>
          <w:iCs w:val="0"/>
          <w:noProof/>
          <w:color w:val="auto"/>
          <w:szCs w:val="30"/>
          <w:lang w:val="en-SE" w:eastAsia="en-GB" w:bidi="bn-IN"/>
        </w:rPr>
      </w:pPr>
      <w:hyperlink w:anchor="_Toc103332734" w:history="1">
        <w:r w:rsidRPr="00E951F8">
          <w:rPr>
            <w:rStyle w:val="Hyperlink"/>
            <w:noProof/>
          </w:rPr>
          <w:t>2</w:t>
        </w:r>
        <w:r>
          <w:rPr>
            <w:rFonts w:asciiTheme="minorHAnsi" w:eastAsiaTheme="minorEastAsia" w:hAnsiTheme="minorHAnsi" w:cs="Vrinda"/>
            <w:b w:val="0"/>
            <w:bCs w:val="0"/>
            <w:i w:val="0"/>
            <w:iCs w:val="0"/>
            <w:noProof/>
            <w:color w:val="auto"/>
            <w:szCs w:val="30"/>
            <w:lang w:val="en-SE" w:eastAsia="en-GB" w:bidi="bn-IN"/>
          </w:rPr>
          <w:tab/>
        </w:r>
        <w:r w:rsidRPr="00E951F8">
          <w:rPr>
            <w:rStyle w:val="Hyperlink"/>
            <w:noProof/>
          </w:rPr>
          <w:t>Neurophysiological mental and emotional states assessment</w:t>
        </w:r>
        <w:r>
          <w:rPr>
            <w:noProof/>
            <w:webHidden/>
          </w:rPr>
          <w:tab/>
        </w:r>
        <w:r>
          <w:rPr>
            <w:noProof/>
            <w:webHidden/>
          </w:rPr>
          <w:fldChar w:fldCharType="begin"/>
        </w:r>
        <w:r>
          <w:rPr>
            <w:noProof/>
            <w:webHidden/>
          </w:rPr>
          <w:instrText xml:space="preserve"> PAGEREF _Toc103332734 \h </w:instrText>
        </w:r>
        <w:r>
          <w:rPr>
            <w:noProof/>
            <w:webHidden/>
          </w:rPr>
        </w:r>
        <w:r>
          <w:rPr>
            <w:noProof/>
            <w:webHidden/>
          </w:rPr>
          <w:fldChar w:fldCharType="separate"/>
        </w:r>
        <w:r>
          <w:rPr>
            <w:noProof/>
            <w:webHidden/>
          </w:rPr>
          <w:t>16</w:t>
        </w:r>
        <w:r>
          <w:rPr>
            <w:noProof/>
            <w:webHidden/>
          </w:rPr>
          <w:fldChar w:fldCharType="end"/>
        </w:r>
      </w:hyperlink>
    </w:p>
    <w:p w14:paraId="624D0D8A" w14:textId="4BEC116F" w:rsidR="00095DBD" w:rsidRDefault="00095DBD">
      <w:pPr>
        <w:pStyle w:val="TOC2"/>
        <w:tabs>
          <w:tab w:val="left" w:pos="880"/>
          <w:tab w:val="right" w:leader="dot" w:pos="9060"/>
        </w:tabs>
        <w:rPr>
          <w:rFonts w:asciiTheme="minorHAnsi" w:eastAsiaTheme="minorEastAsia" w:hAnsiTheme="minorHAnsi" w:cs="Vrinda"/>
          <w:b w:val="0"/>
          <w:bCs w:val="0"/>
          <w:noProof/>
          <w:color w:val="auto"/>
          <w:sz w:val="24"/>
          <w:szCs w:val="30"/>
          <w:lang w:val="en-SE" w:eastAsia="en-GB" w:bidi="bn-IN"/>
        </w:rPr>
      </w:pPr>
      <w:hyperlink w:anchor="_Toc103332735" w:history="1">
        <w:r w:rsidRPr="00E951F8">
          <w:rPr>
            <w:rStyle w:val="Hyperlink"/>
            <w:noProof/>
          </w:rPr>
          <w:t>2.1</w:t>
        </w:r>
        <w:r>
          <w:rPr>
            <w:rFonts w:asciiTheme="minorHAnsi" w:eastAsiaTheme="minorEastAsia" w:hAnsiTheme="minorHAnsi" w:cs="Vrinda"/>
            <w:b w:val="0"/>
            <w:bCs w:val="0"/>
            <w:noProof/>
            <w:color w:val="auto"/>
            <w:sz w:val="24"/>
            <w:szCs w:val="30"/>
            <w:lang w:val="en-SE" w:eastAsia="en-GB" w:bidi="bn-IN"/>
          </w:rPr>
          <w:tab/>
        </w:r>
        <w:r w:rsidRPr="00E951F8">
          <w:rPr>
            <w:rStyle w:val="Hyperlink"/>
            <w:noProof/>
          </w:rPr>
          <w:t>Workload</w:t>
        </w:r>
        <w:r>
          <w:rPr>
            <w:noProof/>
            <w:webHidden/>
          </w:rPr>
          <w:tab/>
        </w:r>
        <w:r>
          <w:rPr>
            <w:noProof/>
            <w:webHidden/>
          </w:rPr>
          <w:fldChar w:fldCharType="begin"/>
        </w:r>
        <w:r>
          <w:rPr>
            <w:noProof/>
            <w:webHidden/>
          </w:rPr>
          <w:instrText xml:space="preserve"> PAGEREF _Toc103332735 \h </w:instrText>
        </w:r>
        <w:r>
          <w:rPr>
            <w:noProof/>
            <w:webHidden/>
          </w:rPr>
        </w:r>
        <w:r>
          <w:rPr>
            <w:noProof/>
            <w:webHidden/>
          </w:rPr>
          <w:fldChar w:fldCharType="separate"/>
        </w:r>
        <w:r>
          <w:rPr>
            <w:noProof/>
            <w:webHidden/>
          </w:rPr>
          <w:t>16</w:t>
        </w:r>
        <w:r>
          <w:rPr>
            <w:noProof/>
            <w:webHidden/>
          </w:rPr>
          <w:fldChar w:fldCharType="end"/>
        </w:r>
      </w:hyperlink>
    </w:p>
    <w:p w14:paraId="410D52BB" w14:textId="292BC9A3" w:rsidR="00095DBD" w:rsidRDefault="00095DBD">
      <w:pPr>
        <w:pStyle w:val="TOC2"/>
        <w:tabs>
          <w:tab w:val="left" w:pos="880"/>
          <w:tab w:val="right" w:leader="dot" w:pos="9060"/>
        </w:tabs>
        <w:rPr>
          <w:rFonts w:asciiTheme="minorHAnsi" w:eastAsiaTheme="minorEastAsia" w:hAnsiTheme="minorHAnsi" w:cs="Vrinda"/>
          <w:b w:val="0"/>
          <w:bCs w:val="0"/>
          <w:noProof/>
          <w:color w:val="auto"/>
          <w:sz w:val="24"/>
          <w:szCs w:val="30"/>
          <w:lang w:val="en-SE" w:eastAsia="en-GB" w:bidi="bn-IN"/>
        </w:rPr>
      </w:pPr>
      <w:hyperlink w:anchor="_Toc103332736" w:history="1">
        <w:r w:rsidRPr="00E951F8">
          <w:rPr>
            <w:rStyle w:val="Hyperlink"/>
            <w:noProof/>
          </w:rPr>
          <w:t>2.2</w:t>
        </w:r>
        <w:r>
          <w:rPr>
            <w:rFonts w:asciiTheme="minorHAnsi" w:eastAsiaTheme="minorEastAsia" w:hAnsiTheme="minorHAnsi" w:cs="Vrinda"/>
            <w:b w:val="0"/>
            <w:bCs w:val="0"/>
            <w:noProof/>
            <w:color w:val="auto"/>
            <w:sz w:val="24"/>
            <w:szCs w:val="30"/>
            <w:lang w:val="en-SE" w:eastAsia="en-GB" w:bidi="bn-IN"/>
          </w:rPr>
          <w:tab/>
        </w:r>
        <w:r w:rsidRPr="00E951F8">
          <w:rPr>
            <w:rStyle w:val="Hyperlink"/>
            <w:noProof/>
          </w:rPr>
          <w:t>Stress</w:t>
        </w:r>
        <w:r>
          <w:rPr>
            <w:noProof/>
            <w:webHidden/>
          </w:rPr>
          <w:tab/>
        </w:r>
        <w:r>
          <w:rPr>
            <w:noProof/>
            <w:webHidden/>
          </w:rPr>
          <w:fldChar w:fldCharType="begin"/>
        </w:r>
        <w:r>
          <w:rPr>
            <w:noProof/>
            <w:webHidden/>
          </w:rPr>
          <w:instrText xml:space="preserve"> PAGEREF _Toc103332736 \h </w:instrText>
        </w:r>
        <w:r>
          <w:rPr>
            <w:noProof/>
            <w:webHidden/>
          </w:rPr>
        </w:r>
        <w:r>
          <w:rPr>
            <w:noProof/>
            <w:webHidden/>
          </w:rPr>
          <w:fldChar w:fldCharType="separate"/>
        </w:r>
        <w:r>
          <w:rPr>
            <w:noProof/>
            <w:webHidden/>
          </w:rPr>
          <w:t>16</w:t>
        </w:r>
        <w:r>
          <w:rPr>
            <w:noProof/>
            <w:webHidden/>
          </w:rPr>
          <w:fldChar w:fldCharType="end"/>
        </w:r>
      </w:hyperlink>
    </w:p>
    <w:p w14:paraId="372BA37B" w14:textId="5476FE2D" w:rsidR="00095DBD" w:rsidRDefault="00095DBD">
      <w:pPr>
        <w:pStyle w:val="TOC2"/>
        <w:tabs>
          <w:tab w:val="left" w:pos="880"/>
          <w:tab w:val="right" w:leader="dot" w:pos="9060"/>
        </w:tabs>
        <w:rPr>
          <w:rFonts w:asciiTheme="minorHAnsi" w:eastAsiaTheme="minorEastAsia" w:hAnsiTheme="minorHAnsi" w:cs="Vrinda"/>
          <w:b w:val="0"/>
          <w:bCs w:val="0"/>
          <w:noProof/>
          <w:color w:val="auto"/>
          <w:sz w:val="24"/>
          <w:szCs w:val="30"/>
          <w:lang w:val="en-SE" w:eastAsia="en-GB" w:bidi="bn-IN"/>
        </w:rPr>
      </w:pPr>
      <w:hyperlink w:anchor="_Toc103332737" w:history="1">
        <w:r w:rsidRPr="00E951F8">
          <w:rPr>
            <w:rStyle w:val="Hyperlink"/>
            <w:noProof/>
          </w:rPr>
          <w:t>2.3</w:t>
        </w:r>
        <w:r>
          <w:rPr>
            <w:rFonts w:asciiTheme="minorHAnsi" w:eastAsiaTheme="minorEastAsia" w:hAnsiTheme="minorHAnsi" w:cs="Vrinda"/>
            <w:b w:val="0"/>
            <w:bCs w:val="0"/>
            <w:noProof/>
            <w:color w:val="auto"/>
            <w:sz w:val="24"/>
            <w:szCs w:val="30"/>
            <w:lang w:val="en-SE" w:eastAsia="en-GB" w:bidi="bn-IN"/>
          </w:rPr>
          <w:tab/>
        </w:r>
        <w:r w:rsidRPr="00E951F8">
          <w:rPr>
            <w:rStyle w:val="Hyperlink"/>
            <w:noProof/>
          </w:rPr>
          <w:t>Approach-Withdrawal</w:t>
        </w:r>
        <w:r>
          <w:rPr>
            <w:noProof/>
            <w:webHidden/>
          </w:rPr>
          <w:tab/>
        </w:r>
        <w:r>
          <w:rPr>
            <w:noProof/>
            <w:webHidden/>
          </w:rPr>
          <w:fldChar w:fldCharType="begin"/>
        </w:r>
        <w:r>
          <w:rPr>
            <w:noProof/>
            <w:webHidden/>
          </w:rPr>
          <w:instrText xml:space="preserve"> PAGEREF _Toc103332737 \h </w:instrText>
        </w:r>
        <w:r>
          <w:rPr>
            <w:noProof/>
            <w:webHidden/>
          </w:rPr>
        </w:r>
        <w:r>
          <w:rPr>
            <w:noProof/>
            <w:webHidden/>
          </w:rPr>
          <w:fldChar w:fldCharType="separate"/>
        </w:r>
        <w:r>
          <w:rPr>
            <w:noProof/>
            <w:webHidden/>
          </w:rPr>
          <w:t>17</w:t>
        </w:r>
        <w:r>
          <w:rPr>
            <w:noProof/>
            <w:webHidden/>
          </w:rPr>
          <w:fldChar w:fldCharType="end"/>
        </w:r>
      </w:hyperlink>
    </w:p>
    <w:p w14:paraId="202B6D78" w14:textId="7A88FC02" w:rsidR="00095DBD" w:rsidRDefault="00095DBD">
      <w:pPr>
        <w:pStyle w:val="TOC1"/>
        <w:rPr>
          <w:rFonts w:asciiTheme="minorHAnsi" w:eastAsiaTheme="minorEastAsia" w:hAnsiTheme="minorHAnsi" w:cs="Vrinda"/>
          <w:b w:val="0"/>
          <w:bCs w:val="0"/>
          <w:i w:val="0"/>
          <w:iCs w:val="0"/>
          <w:noProof/>
          <w:color w:val="auto"/>
          <w:szCs w:val="30"/>
          <w:lang w:val="en-SE" w:eastAsia="en-GB" w:bidi="bn-IN"/>
        </w:rPr>
      </w:pPr>
      <w:hyperlink w:anchor="_Toc103332738" w:history="1">
        <w:r w:rsidRPr="00E951F8">
          <w:rPr>
            <w:rStyle w:val="Hyperlink"/>
            <w:rFonts w:cstheme="minorHAnsi"/>
            <w:noProof/>
          </w:rPr>
          <w:t>3</w:t>
        </w:r>
        <w:r>
          <w:rPr>
            <w:rFonts w:asciiTheme="minorHAnsi" w:eastAsiaTheme="minorEastAsia" w:hAnsiTheme="minorHAnsi" w:cs="Vrinda"/>
            <w:b w:val="0"/>
            <w:bCs w:val="0"/>
            <w:i w:val="0"/>
            <w:iCs w:val="0"/>
            <w:noProof/>
            <w:color w:val="auto"/>
            <w:szCs w:val="30"/>
            <w:lang w:val="en-SE" w:eastAsia="en-GB" w:bidi="bn-IN"/>
          </w:rPr>
          <w:tab/>
        </w:r>
        <w:r w:rsidRPr="00E951F8">
          <w:rPr>
            <w:rStyle w:val="Hyperlink"/>
            <w:rFonts w:cstheme="minorHAnsi"/>
            <w:noProof/>
          </w:rPr>
          <w:t>Biosignal processing</w:t>
        </w:r>
        <w:r>
          <w:rPr>
            <w:noProof/>
            <w:webHidden/>
          </w:rPr>
          <w:tab/>
        </w:r>
        <w:r>
          <w:rPr>
            <w:noProof/>
            <w:webHidden/>
          </w:rPr>
          <w:fldChar w:fldCharType="begin"/>
        </w:r>
        <w:r>
          <w:rPr>
            <w:noProof/>
            <w:webHidden/>
          </w:rPr>
          <w:instrText xml:space="preserve"> PAGEREF _Toc103332738 \h </w:instrText>
        </w:r>
        <w:r>
          <w:rPr>
            <w:noProof/>
            <w:webHidden/>
          </w:rPr>
        </w:r>
        <w:r>
          <w:rPr>
            <w:noProof/>
            <w:webHidden/>
          </w:rPr>
          <w:fldChar w:fldCharType="separate"/>
        </w:r>
        <w:r>
          <w:rPr>
            <w:noProof/>
            <w:webHidden/>
          </w:rPr>
          <w:t>19</w:t>
        </w:r>
        <w:r>
          <w:rPr>
            <w:noProof/>
            <w:webHidden/>
          </w:rPr>
          <w:fldChar w:fldCharType="end"/>
        </w:r>
      </w:hyperlink>
    </w:p>
    <w:p w14:paraId="3D134885" w14:textId="3C0721AC" w:rsidR="00095DBD" w:rsidRDefault="00095DBD">
      <w:pPr>
        <w:pStyle w:val="TOC2"/>
        <w:tabs>
          <w:tab w:val="left" w:pos="880"/>
          <w:tab w:val="right" w:leader="dot" w:pos="9060"/>
        </w:tabs>
        <w:rPr>
          <w:rFonts w:asciiTheme="minorHAnsi" w:eastAsiaTheme="minorEastAsia" w:hAnsiTheme="minorHAnsi" w:cs="Vrinda"/>
          <w:b w:val="0"/>
          <w:bCs w:val="0"/>
          <w:noProof/>
          <w:color w:val="auto"/>
          <w:sz w:val="24"/>
          <w:szCs w:val="30"/>
          <w:lang w:val="en-SE" w:eastAsia="en-GB" w:bidi="bn-IN"/>
        </w:rPr>
      </w:pPr>
      <w:hyperlink w:anchor="_Toc103332739" w:history="1">
        <w:r w:rsidRPr="00E951F8">
          <w:rPr>
            <w:rStyle w:val="Hyperlink"/>
            <w:noProof/>
          </w:rPr>
          <w:t>3.1</w:t>
        </w:r>
        <w:r>
          <w:rPr>
            <w:rFonts w:asciiTheme="minorHAnsi" w:eastAsiaTheme="minorEastAsia" w:hAnsiTheme="minorHAnsi" w:cs="Vrinda"/>
            <w:b w:val="0"/>
            <w:bCs w:val="0"/>
            <w:noProof/>
            <w:color w:val="auto"/>
            <w:sz w:val="24"/>
            <w:szCs w:val="30"/>
            <w:lang w:val="en-SE" w:eastAsia="en-GB" w:bidi="bn-IN"/>
          </w:rPr>
          <w:tab/>
        </w:r>
        <w:r w:rsidRPr="00E951F8">
          <w:rPr>
            <w:rStyle w:val="Hyperlink"/>
            <w:noProof/>
          </w:rPr>
          <w:t>EEG processing chain</w:t>
        </w:r>
        <w:r>
          <w:rPr>
            <w:noProof/>
            <w:webHidden/>
          </w:rPr>
          <w:tab/>
        </w:r>
        <w:r>
          <w:rPr>
            <w:noProof/>
            <w:webHidden/>
          </w:rPr>
          <w:fldChar w:fldCharType="begin"/>
        </w:r>
        <w:r>
          <w:rPr>
            <w:noProof/>
            <w:webHidden/>
          </w:rPr>
          <w:instrText xml:space="preserve"> PAGEREF _Toc103332739 \h </w:instrText>
        </w:r>
        <w:r>
          <w:rPr>
            <w:noProof/>
            <w:webHidden/>
          </w:rPr>
        </w:r>
        <w:r>
          <w:rPr>
            <w:noProof/>
            <w:webHidden/>
          </w:rPr>
          <w:fldChar w:fldCharType="separate"/>
        </w:r>
        <w:r>
          <w:rPr>
            <w:noProof/>
            <w:webHidden/>
          </w:rPr>
          <w:t>19</w:t>
        </w:r>
        <w:r>
          <w:rPr>
            <w:noProof/>
            <w:webHidden/>
          </w:rPr>
          <w:fldChar w:fldCharType="end"/>
        </w:r>
      </w:hyperlink>
    </w:p>
    <w:p w14:paraId="27D1EB70" w14:textId="10ADDFDD" w:rsidR="00095DBD" w:rsidRDefault="00095DBD">
      <w:pPr>
        <w:pStyle w:val="TOC2"/>
        <w:tabs>
          <w:tab w:val="left" w:pos="880"/>
          <w:tab w:val="right" w:leader="dot" w:pos="9060"/>
        </w:tabs>
        <w:rPr>
          <w:rFonts w:asciiTheme="minorHAnsi" w:eastAsiaTheme="minorEastAsia" w:hAnsiTheme="minorHAnsi" w:cs="Vrinda"/>
          <w:b w:val="0"/>
          <w:bCs w:val="0"/>
          <w:noProof/>
          <w:color w:val="auto"/>
          <w:sz w:val="24"/>
          <w:szCs w:val="30"/>
          <w:lang w:val="en-SE" w:eastAsia="en-GB" w:bidi="bn-IN"/>
        </w:rPr>
      </w:pPr>
      <w:hyperlink w:anchor="_Toc103332740" w:history="1">
        <w:r w:rsidRPr="00E951F8">
          <w:rPr>
            <w:rStyle w:val="Hyperlink"/>
            <w:noProof/>
          </w:rPr>
          <w:t>3.2</w:t>
        </w:r>
        <w:r>
          <w:rPr>
            <w:rFonts w:asciiTheme="minorHAnsi" w:eastAsiaTheme="minorEastAsia" w:hAnsiTheme="minorHAnsi" w:cs="Vrinda"/>
            <w:b w:val="0"/>
            <w:bCs w:val="0"/>
            <w:noProof/>
            <w:color w:val="auto"/>
            <w:sz w:val="24"/>
            <w:szCs w:val="30"/>
            <w:lang w:val="en-SE" w:eastAsia="en-GB" w:bidi="bn-IN"/>
          </w:rPr>
          <w:tab/>
        </w:r>
        <w:r w:rsidRPr="00E951F8">
          <w:rPr>
            <w:rStyle w:val="Hyperlink"/>
            <w:noProof/>
          </w:rPr>
          <w:t>GSR processing chain</w:t>
        </w:r>
        <w:r>
          <w:rPr>
            <w:noProof/>
            <w:webHidden/>
          </w:rPr>
          <w:tab/>
        </w:r>
        <w:r>
          <w:rPr>
            <w:noProof/>
            <w:webHidden/>
          </w:rPr>
          <w:fldChar w:fldCharType="begin"/>
        </w:r>
        <w:r>
          <w:rPr>
            <w:noProof/>
            <w:webHidden/>
          </w:rPr>
          <w:instrText xml:space="preserve"> PAGEREF _Toc103332740 \h </w:instrText>
        </w:r>
        <w:r>
          <w:rPr>
            <w:noProof/>
            <w:webHidden/>
          </w:rPr>
        </w:r>
        <w:r>
          <w:rPr>
            <w:noProof/>
            <w:webHidden/>
          </w:rPr>
          <w:fldChar w:fldCharType="separate"/>
        </w:r>
        <w:r>
          <w:rPr>
            <w:noProof/>
            <w:webHidden/>
          </w:rPr>
          <w:t>20</w:t>
        </w:r>
        <w:r>
          <w:rPr>
            <w:noProof/>
            <w:webHidden/>
          </w:rPr>
          <w:fldChar w:fldCharType="end"/>
        </w:r>
      </w:hyperlink>
    </w:p>
    <w:p w14:paraId="3B41E85A" w14:textId="3BF23E04" w:rsidR="00095DBD" w:rsidRDefault="00095DBD">
      <w:pPr>
        <w:pStyle w:val="TOC1"/>
        <w:rPr>
          <w:rFonts w:asciiTheme="minorHAnsi" w:eastAsiaTheme="minorEastAsia" w:hAnsiTheme="minorHAnsi" w:cs="Vrinda"/>
          <w:b w:val="0"/>
          <w:bCs w:val="0"/>
          <w:i w:val="0"/>
          <w:iCs w:val="0"/>
          <w:noProof/>
          <w:color w:val="auto"/>
          <w:szCs w:val="30"/>
          <w:lang w:val="en-SE" w:eastAsia="en-GB" w:bidi="bn-IN"/>
        </w:rPr>
      </w:pPr>
      <w:hyperlink w:anchor="_Toc103332741" w:history="1">
        <w:r w:rsidRPr="00E951F8">
          <w:rPr>
            <w:rStyle w:val="Hyperlink"/>
            <w:rFonts w:cstheme="minorHAnsi"/>
            <w:noProof/>
          </w:rPr>
          <w:t>4</w:t>
        </w:r>
        <w:r>
          <w:rPr>
            <w:rFonts w:asciiTheme="minorHAnsi" w:eastAsiaTheme="minorEastAsia" w:hAnsiTheme="minorHAnsi" w:cs="Vrinda"/>
            <w:b w:val="0"/>
            <w:bCs w:val="0"/>
            <w:i w:val="0"/>
            <w:iCs w:val="0"/>
            <w:noProof/>
            <w:color w:val="auto"/>
            <w:szCs w:val="30"/>
            <w:lang w:val="en-SE" w:eastAsia="en-GB" w:bidi="bn-IN"/>
          </w:rPr>
          <w:tab/>
        </w:r>
        <w:r w:rsidRPr="00E951F8">
          <w:rPr>
            <w:rStyle w:val="Hyperlink"/>
            <w:rFonts w:cstheme="minorHAnsi"/>
            <w:noProof/>
          </w:rPr>
          <w:t>Biosignals recording systems</w:t>
        </w:r>
        <w:r>
          <w:rPr>
            <w:noProof/>
            <w:webHidden/>
          </w:rPr>
          <w:tab/>
        </w:r>
        <w:r>
          <w:rPr>
            <w:noProof/>
            <w:webHidden/>
          </w:rPr>
          <w:fldChar w:fldCharType="begin"/>
        </w:r>
        <w:r>
          <w:rPr>
            <w:noProof/>
            <w:webHidden/>
          </w:rPr>
          <w:instrText xml:space="preserve"> PAGEREF _Toc103332741 \h </w:instrText>
        </w:r>
        <w:r>
          <w:rPr>
            <w:noProof/>
            <w:webHidden/>
          </w:rPr>
        </w:r>
        <w:r>
          <w:rPr>
            <w:noProof/>
            <w:webHidden/>
          </w:rPr>
          <w:fldChar w:fldCharType="separate"/>
        </w:r>
        <w:r>
          <w:rPr>
            <w:noProof/>
            <w:webHidden/>
          </w:rPr>
          <w:t>21</w:t>
        </w:r>
        <w:r>
          <w:rPr>
            <w:noProof/>
            <w:webHidden/>
          </w:rPr>
          <w:fldChar w:fldCharType="end"/>
        </w:r>
      </w:hyperlink>
    </w:p>
    <w:p w14:paraId="6A7B952B" w14:textId="3A0F8CC4" w:rsidR="00095DBD" w:rsidRDefault="00095DBD">
      <w:pPr>
        <w:pStyle w:val="TOC2"/>
        <w:tabs>
          <w:tab w:val="left" w:pos="880"/>
          <w:tab w:val="right" w:leader="dot" w:pos="9060"/>
        </w:tabs>
        <w:rPr>
          <w:rFonts w:asciiTheme="minorHAnsi" w:eastAsiaTheme="minorEastAsia" w:hAnsiTheme="minorHAnsi" w:cs="Vrinda"/>
          <w:b w:val="0"/>
          <w:bCs w:val="0"/>
          <w:noProof/>
          <w:color w:val="auto"/>
          <w:sz w:val="24"/>
          <w:szCs w:val="30"/>
          <w:lang w:val="en-SE" w:eastAsia="en-GB" w:bidi="bn-IN"/>
        </w:rPr>
      </w:pPr>
      <w:hyperlink w:anchor="_Toc103332742" w:history="1">
        <w:r w:rsidRPr="00E951F8">
          <w:rPr>
            <w:rStyle w:val="Hyperlink"/>
            <w:noProof/>
          </w:rPr>
          <w:t>4.1</w:t>
        </w:r>
        <w:r>
          <w:rPr>
            <w:rFonts w:asciiTheme="minorHAnsi" w:eastAsiaTheme="minorEastAsia" w:hAnsiTheme="minorHAnsi" w:cs="Vrinda"/>
            <w:b w:val="0"/>
            <w:bCs w:val="0"/>
            <w:noProof/>
            <w:color w:val="auto"/>
            <w:sz w:val="24"/>
            <w:szCs w:val="30"/>
            <w:lang w:val="en-SE" w:eastAsia="en-GB" w:bidi="bn-IN"/>
          </w:rPr>
          <w:tab/>
        </w:r>
        <w:r w:rsidRPr="00E951F8">
          <w:rPr>
            <w:rStyle w:val="Hyperlink"/>
            <w:noProof/>
          </w:rPr>
          <w:t>EEG Technology</w:t>
        </w:r>
        <w:r>
          <w:rPr>
            <w:noProof/>
            <w:webHidden/>
          </w:rPr>
          <w:tab/>
        </w:r>
        <w:r>
          <w:rPr>
            <w:noProof/>
            <w:webHidden/>
          </w:rPr>
          <w:fldChar w:fldCharType="begin"/>
        </w:r>
        <w:r>
          <w:rPr>
            <w:noProof/>
            <w:webHidden/>
          </w:rPr>
          <w:instrText xml:space="preserve"> PAGEREF _Toc103332742 \h </w:instrText>
        </w:r>
        <w:r>
          <w:rPr>
            <w:noProof/>
            <w:webHidden/>
          </w:rPr>
        </w:r>
        <w:r>
          <w:rPr>
            <w:noProof/>
            <w:webHidden/>
          </w:rPr>
          <w:fldChar w:fldCharType="separate"/>
        </w:r>
        <w:r>
          <w:rPr>
            <w:noProof/>
            <w:webHidden/>
          </w:rPr>
          <w:t>21</w:t>
        </w:r>
        <w:r>
          <w:rPr>
            <w:noProof/>
            <w:webHidden/>
          </w:rPr>
          <w:fldChar w:fldCharType="end"/>
        </w:r>
      </w:hyperlink>
    </w:p>
    <w:p w14:paraId="22166F9C" w14:textId="141390C2" w:rsidR="00095DBD" w:rsidRDefault="00095DBD">
      <w:pPr>
        <w:pStyle w:val="TOC2"/>
        <w:tabs>
          <w:tab w:val="left" w:pos="880"/>
          <w:tab w:val="right" w:leader="dot" w:pos="9060"/>
        </w:tabs>
        <w:rPr>
          <w:rFonts w:asciiTheme="minorHAnsi" w:eastAsiaTheme="minorEastAsia" w:hAnsiTheme="minorHAnsi" w:cs="Vrinda"/>
          <w:b w:val="0"/>
          <w:bCs w:val="0"/>
          <w:noProof/>
          <w:color w:val="auto"/>
          <w:sz w:val="24"/>
          <w:szCs w:val="30"/>
          <w:lang w:val="en-SE" w:eastAsia="en-GB" w:bidi="bn-IN"/>
        </w:rPr>
      </w:pPr>
      <w:hyperlink w:anchor="_Toc103332743" w:history="1">
        <w:r w:rsidRPr="00E951F8">
          <w:rPr>
            <w:rStyle w:val="Hyperlink"/>
            <w:noProof/>
          </w:rPr>
          <w:t>4.2</w:t>
        </w:r>
        <w:r>
          <w:rPr>
            <w:rFonts w:asciiTheme="minorHAnsi" w:eastAsiaTheme="minorEastAsia" w:hAnsiTheme="minorHAnsi" w:cs="Vrinda"/>
            <w:b w:val="0"/>
            <w:bCs w:val="0"/>
            <w:noProof/>
            <w:color w:val="auto"/>
            <w:sz w:val="24"/>
            <w:szCs w:val="30"/>
            <w:lang w:val="en-SE" w:eastAsia="en-GB" w:bidi="bn-IN"/>
          </w:rPr>
          <w:tab/>
        </w:r>
        <w:r w:rsidRPr="00E951F8">
          <w:rPr>
            <w:rStyle w:val="Hyperlink"/>
            <w:noProof/>
          </w:rPr>
          <w:t>GSR Technology</w:t>
        </w:r>
        <w:r>
          <w:rPr>
            <w:noProof/>
            <w:webHidden/>
          </w:rPr>
          <w:tab/>
        </w:r>
        <w:r>
          <w:rPr>
            <w:noProof/>
            <w:webHidden/>
          </w:rPr>
          <w:fldChar w:fldCharType="begin"/>
        </w:r>
        <w:r>
          <w:rPr>
            <w:noProof/>
            <w:webHidden/>
          </w:rPr>
          <w:instrText xml:space="preserve"> PAGEREF _Toc103332743 \h </w:instrText>
        </w:r>
        <w:r>
          <w:rPr>
            <w:noProof/>
            <w:webHidden/>
          </w:rPr>
        </w:r>
        <w:r>
          <w:rPr>
            <w:noProof/>
            <w:webHidden/>
          </w:rPr>
          <w:fldChar w:fldCharType="separate"/>
        </w:r>
        <w:r>
          <w:rPr>
            <w:noProof/>
            <w:webHidden/>
          </w:rPr>
          <w:t>22</w:t>
        </w:r>
        <w:r>
          <w:rPr>
            <w:noProof/>
            <w:webHidden/>
          </w:rPr>
          <w:fldChar w:fldCharType="end"/>
        </w:r>
      </w:hyperlink>
    </w:p>
    <w:p w14:paraId="51C4771B" w14:textId="485BF638" w:rsidR="00095DBD" w:rsidRDefault="00095DBD">
      <w:pPr>
        <w:pStyle w:val="TOC1"/>
        <w:rPr>
          <w:rFonts w:asciiTheme="minorHAnsi" w:eastAsiaTheme="minorEastAsia" w:hAnsiTheme="minorHAnsi" w:cs="Vrinda"/>
          <w:b w:val="0"/>
          <w:bCs w:val="0"/>
          <w:i w:val="0"/>
          <w:iCs w:val="0"/>
          <w:noProof/>
          <w:color w:val="auto"/>
          <w:szCs w:val="30"/>
          <w:lang w:val="en-SE" w:eastAsia="en-GB" w:bidi="bn-IN"/>
        </w:rPr>
      </w:pPr>
      <w:hyperlink w:anchor="_Toc103332744" w:history="1">
        <w:r w:rsidRPr="00E951F8">
          <w:rPr>
            <w:rStyle w:val="Hyperlink"/>
            <w:rFonts w:cstheme="minorHAnsi"/>
            <w:noProof/>
          </w:rPr>
          <w:t>5</w:t>
        </w:r>
        <w:r>
          <w:rPr>
            <w:rFonts w:asciiTheme="minorHAnsi" w:eastAsiaTheme="minorEastAsia" w:hAnsiTheme="minorHAnsi" w:cs="Vrinda"/>
            <w:b w:val="0"/>
            <w:bCs w:val="0"/>
            <w:i w:val="0"/>
            <w:iCs w:val="0"/>
            <w:noProof/>
            <w:color w:val="auto"/>
            <w:szCs w:val="30"/>
            <w:lang w:val="en-SE" w:eastAsia="en-GB" w:bidi="bn-IN"/>
          </w:rPr>
          <w:tab/>
        </w:r>
        <w:r w:rsidRPr="00E951F8">
          <w:rPr>
            <w:rStyle w:val="Hyperlink"/>
            <w:rFonts w:cstheme="minorHAnsi"/>
            <w:noProof/>
          </w:rPr>
          <w:t>Conclusions</w:t>
        </w:r>
        <w:r>
          <w:rPr>
            <w:noProof/>
            <w:webHidden/>
          </w:rPr>
          <w:tab/>
        </w:r>
        <w:r>
          <w:rPr>
            <w:noProof/>
            <w:webHidden/>
          </w:rPr>
          <w:fldChar w:fldCharType="begin"/>
        </w:r>
        <w:r>
          <w:rPr>
            <w:noProof/>
            <w:webHidden/>
          </w:rPr>
          <w:instrText xml:space="preserve"> PAGEREF _Toc103332744 \h </w:instrText>
        </w:r>
        <w:r>
          <w:rPr>
            <w:noProof/>
            <w:webHidden/>
          </w:rPr>
        </w:r>
        <w:r>
          <w:rPr>
            <w:noProof/>
            <w:webHidden/>
          </w:rPr>
          <w:fldChar w:fldCharType="separate"/>
        </w:r>
        <w:r>
          <w:rPr>
            <w:noProof/>
            <w:webHidden/>
          </w:rPr>
          <w:t>24</w:t>
        </w:r>
        <w:r>
          <w:rPr>
            <w:noProof/>
            <w:webHidden/>
          </w:rPr>
          <w:fldChar w:fldCharType="end"/>
        </w:r>
      </w:hyperlink>
    </w:p>
    <w:p w14:paraId="791A32ED" w14:textId="1847694E" w:rsidR="00095DBD" w:rsidRDefault="00095DBD">
      <w:pPr>
        <w:pStyle w:val="TOC1"/>
        <w:rPr>
          <w:rFonts w:asciiTheme="minorHAnsi" w:eastAsiaTheme="minorEastAsia" w:hAnsiTheme="minorHAnsi" w:cs="Vrinda"/>
          <w:b w:val="0"/>
          <w:bCs w:val="0"/>
          <w:i w:val="0"/>
          <w:iCs w:val="0"/>
          <w:noProof/>
          <w:color w:val="auto"/>
          <w:szCs w:val="30"/>
          <w:lang w:val="en-SE" w:eastAsia="en-GB" w:bidi="bn-IN"/>
        </w:rPr>
      </w:pPr>
      <w:hyperlink w:anchor="_Toc103332745" w:history="1">
        <w:r w:rsidRPr="00E951F8">
          <w:rPr>
            <w:rStyle w:val="Hyperlink"/>
            <w:rFonts w:cstheme="minorHAnsi"/>
            <w:noProof/>
          </w:rPr>
          <w:t>6</w:t>
        </w:r>
        <w:r>
          <w:rPr>
            <w:rFonts w:asciiTheme="minorHAnsi" w:eastAsiaTheme="minorEastAsia" w:hAnsiTheme="minorHAnsi" w:cs="Vrinda"/>
            <w:b w:val="0"/>
            <w:bCs w:val="0"/>
            <w:i w:val="0"/>
            <w:iCs w:val="0"/>
            <w:noProof/>
            <w:color w:val="auto"/>
            <w:szCs w:val="30"/>
            <w:lang w:val="en-SE" w:eastAsia="en-GB" w:bidi="bn-IN"/>
          </w:rPr>
          <w:tab/>
        </w:r>
        <w:r w:rsidRPr="00E951F8">
          <w:rPr>
            <w:rStyle w:val="Hyperlink"/>
            <w:rFonts w:cstheme="minorHAnsi"/>
            <w:noProof/>
          </w:rPr>
          <w:t>References</w:t>
        </w:r>
        <w:r>
          <w:rPr>
            <w:noProof/>
            <w:webHidden/>
          </w:rPr>
          <w:tab/>
        </w:r>
        <w:r>
          <w:rPr>
            <w:noProof/>
            <w:webHidden/>
          </w:rPr>
          <w:fldChar w:fldCharType="begin"/>
        </w:r>
        <w:r>
          <w:rPr>
            <w:noProof/>
            <w:webHidden/>
          </w:rPr>
          <w:instrText xml:space="preserve"> PAGEREF _Toc103332745 \h </w:instrText>
        </w:r>
        <w:r>
          <w:rPr>
            <w:noProof/>
            <w:webHidden/>
          </w:rPr>
        </w:r>
        <w:r>
          <w:rPr>
            <w:noProof/>
            <w:webHidden/>
          </w:rPr>
          <w:fldChar w:fldCharType="separate"/>
        </w:r>
        <w:r>
          <w:rPr>
            <w:noProof/>
            <w:webHidden/>
          </w:rPr>
          <w:t>25</w:t>
        </w:r>
        <w:r>
          <w:rPr>
            <w:noProof/>
            <w:webHidden/>
          </w:rPr>
          <w:fldChar w:fldCharType="end"/>
        </w:r>
      </w:hyperlink>
    </w:p>
    <w:p w14:paraId="69D3EE2B" w14:textId="723FE22D" w:rsidR="00A4045F" w:rsidRDefault="000C67DC" w:rsidP="00B7435F">
      <w:pPr>
        <w:rPr>
          <w:b/>
          <w:bCs/>
          <w:i/>
          <w:iCs/>
          <w:sz w:val="24"/>
          <w:szCs w:val="24"/>
        </w:rPr>
      </w:pPr>
      <w:r>
        <w:rPr>
          <w:b/>
          <w:bCs/>
          <w:i/>
          <w:iCs/>
          <w:sz w:val="24"/>
          <w:szCs w:val="24"/>
        </w:rPr>
        <w:fldChar w:fldCharType="end"/>
      </w:r>
      <w:bookmarkStart w:id="2" w:name="_Toc225321502"/>
      <w:bookmarkStart w:id="3" w:name="_Toc225326001"/>
      <w:bookmarkStart w:id="4" w:name="_Toc225328164"/>
      <w:bookmarkStart w:id="5" w:name="_Toc226435501"/>
      <w:bookmarkStart w:id="6" w:name="_Toc445303329"/>
      <w:bookmarkStart w:id="7" w:name="_Toc445305019"/>
    </w:p>
    <w:p w14:paraId="0264CCDA" w14:textId="77777777" w:rsidR="00A4045F" w:rsidRDefault="00A4045F" w:rsidP="00A4045F">
      <w:pPr>
        <w:pStyle w:val="Header"/>
      </w:pPr>
      <w:r>
        <w:t>List of Tables</w:t>
      </w:r>
    </w:p>
    <w:p w14:paraId="074B9A92" w14:textId="68EB821A" w:rsidR="00095DBD" w:rsidRDefault="00A4045F">
      <w:pPr>
        <w:pStyle w:val="TableofFigures"/>
        <w:tabs>
          <w:tab w:val="right" w:leader="dot" w:pos="9060"/>
        </w:tabs>
        <w:rPr>
          <w:rFonts w:asciiTheme="minorHAnsi" w:eastAsiaTheme="minorEastAsia" w:hAnsiTheme="minorHAnsi" w:cs="Vrinda"/>
          <w:noProof/>
          <w:color w:val="auto"/>
          <w:sz w:val="24"/>
          <w:szCs w:val="30"/>
          <w:lang w:val="en-SE" w:eastAsia="en-GB" w:bidi="bn-IN"/>
        </w:rPr>
      </w:pPr>
      <w:r>
        <w:rPr>
          <w:b/>
          <w:bCs/>
          <w:i/>
          <w:iCs/>
          <w:sz w:val="24"/>
          <w:szCs w:val="24"/>
        </w:rPr>
        <w:fldChar w:fldCharType="begin"/>
      </w:r>
      <w:r>
        <w:rPr>
          <w:b/>
          <w:bCs/>
          <w:i/>
          <w:iCs/>
          <w:sz w:val="24"/>
          <w:szCs w:val="24"/>
        </w:rPr>
        <w:instrText xml:space="preserve"> TOC \h \z \c "Table" </w:instrText>
      </w:r>
      <w:r>
        <w:rPr>
          <w:b/>
          <w:bCs/>
          <w:i/>
          <w:iCs/>
          <w:sz w:val="24"/>
          <w:szCs w:val="24"/>
        </w:rPr>
        <w:fldChar w:fldCharType="separate"/>
      </w:r>
      <w:hyperlink w:anchor="_Toc103332746" w:history="1">
        <w:r w:rsidR="00095DBD" w:rsidRPr="00E84D4A">
          <w:rPr>
            <w:rStyle w:val="Hyperlink"/>
            <w:noProof/>
          </w:rPr>
          <w:t>Table 1. List of objectives and success criteria for conflict resolution</w:t>
        </w:r>
        <w:r w:rsidR="00095DBD">
          <w:rPr>
            <w:noProof/>
            <w:webHidden/>
          </w:rPr>
          <w:tab/>
        </w:r>
        <w:r w:rsidR="00095DBD">
          <w:rPr>
            <w:noProof/>
            <w:webHidden/>
          </w:rPr>
          <w:fldChar w:fldCharType="begin"/>
        </w:r>
        <w:r w:rsidR="00095DBD">
          <w:rPr>
            <w:noProof/>
            <w:webHidden/>
          </w:rPr>
          <w:instrText xml:space="preserve"> PAGEREF _Toc103332746 \h </w:instrText>
        </w:r>
        <w:r w:rsidR="00095DBD">
          <w:rPr>
            <w:noProof/>
            <w:webHidden/>
          </w:rPr>
        </w:r>
        <w:r w:rsidR="00095DBD">
          <w:rPr>
            <w:noProof/>
            <w:webHidden/>
          </w:rPr>
          <w:fldChar w:fldCharType="separate"/>
        </w:r>
        <w:r w:rsidR="00095DBD">
          <w:rPr>
            <w:noProof/>
            <w:webHidden/>
          </w:rPr>
          <w:t>7</w:t>
        </w:r>
        <w:r w:rsidR="00095DBD">
          <w:rPr>
            <w:noProof/>
            <w:webHidden/>
          </w:rPr>
          <w:fldChar w:fldCharType="end"/>
        </w:r>
      </w:hyperlink>
    </w:p>
    <w:p w14:paraId="701389E1" w14:textId="683A325D" w:rsidR="00A4045F" w:rsidRDefault="00A4045F" w:rsidP="00B7435F">
      <w:pPr>
        <w:rPr>
          <w:b/>
          <w:bCs/>
          <w:i/>
          <w:iCs/>
          <w:sz w:val="24"/>
          <w:szCs w:val="24"/>
        </w:rPr>
      </w:pPr>
      <w:r>
        <w:rPr>
          <w:b/>
          <w:bCs/>
          <w:i/>
          <w:iCs/>
          <w:sz w:val="24"/>
          <w:szCs w:val="24"/>
        </w:rPr>
        <w:fldChar w:fldCharType="end"/>
      </w:r>
    </w:p>
    <w:p w14:paraId="389D6FE8" w14:textId="77777777" w:rsidR="00A4045F" w:rsidRDefault="00A4045F" w:rsidP="00A4045F">
      <w:pPr>
        <w:pStyle w:val="Header"/>
      </w:pPr>
      <w:r>
        <w:t>List of Figures</w:t>
      </w:r>
    </w:p>
    <w:p w14:paraId="678085F9" w14:textId="1E83E6AB" w:rsidR="00095DBD" w:rsidRDefault="00A4045F">
      <w:pPr>
        <w:pStyle w:val="TableofFigures"/>
        <w:tabs>
          <w:tab w:val="right" w:leader="dot" w:pos="9060"/>
        </w:tabs>
        <w:rPr>
          <w:rFonts w:asciiTheme="minorHAnsi" w:eastAsiaTheme="minorEastAsia" w:hAnsiTheme="minorHAnsi" w:cs="Vrinda"/>
          <w:noProof/>
          <w:color w:val="auto"/>
          <w:sz w:val="24"/>
          <w:szCs w:val="30"/>
          <w:lang w:val="en-SE" w:eastAsia="en-GB" w:bidi="bn-IN"/>
        </w:rPr>
      </w:pPr>
      <w:r>
        <w:rPr>
          <w:b/>
          <w:bCs/>
          <w:i/>
          <w:iCs/>
          <w:sz w:val="24"/>
          <w:szCs w:val="24"/>
        </w:rPr>
        <w:fldChar w:fldCharType="begin"/>
      </w:r>
      <w:r>
        <w:rPr>
          <w:b/>
          <w:bCs/>
          <w:i/>
          <w:iCs/>
          <w:sz w:val="24"/>
          <w:szCs w:val="24"/>
        </w:rPr>
        <w:instrText xml:space="preserve"> TOC \h \z \c "Figure" </w:instrText>
      </w:r>
      <w:r>
        <w:rPr>
          <w:b/>
          <w:bCs/>
          <w:i/>
          <w:iCs/>
          <w:sz w:val="24"/>
          <w:szCs w:val="24"/>
        </w:rPr>
        <w:fldChar w:fldCharType="separate"/>
      </w:r>
      <w:hyperlink w:anchor="_Toc103332721" w:history="1">
        <w:r w:rsidR="00095DBD" w:rsidRPr="00AD3D34">
          <w:rPr>
            <w:rStyle w:val="Hyperlink"/>
            <w:noProof/>
          </w:rPr>
          <w:t>Figure 1. Relation among stress, workload and performance</w:t>
        </w:r>
        <w:r w:rsidR="00095DBD">
          <w:rPr>
            <w:noProof/>
            <w:webHidden/>
          </w:rPr>
          <w:tab/>
        </w:r>
        <w:r w:rsidR="00095DBD">
          <w:rPr>
            <w:noProof/>
            <w:webHidden/>
          </w:rPr>
          <w:fldChar w:fldCharType="begin"/>
        </w:r>
        <w:r w:rsidR="00095DBD">
          <w:rPr>
            <w:noProof/>
            <w:webHidden/>
          </w:rPr>
          <w:instrText xml:space="preserve"> PAGEREF _Toc103332721 \h </w:instrText>
        </w:r>
        <w:r w:rsidR="00095DBD">
          <w:rPr>
            <w:noProof/>
            <w:webHidden/>
          </w:rPr>
        </w:r>
        <w:r w:rsidR="00095DBD">
          <w:rPr>
            <w:noProof/>
            <w:webHidden/>
          </w:rPr>
          <w:fldChar w:fldCharType="separate"/>
        </w:r>
        <w:r w:rsidR="00095DBD">
          <w:rPr>
            <w:noProof/>
            <w:webHidden/>
          </w:rPr>
          <w:t>10</w:t>
        </w:r>
        <w:r w:rsidR="00095DBD">
          <w:rPr>
            <w:noProof/>
            <w:webHidden/>
          </w:rPr>
          <w:fldChar w:fldCharType="end"/>
        </w:r>
      </w:hyperlink>
    </w:p>
    <w:p w14:paraId="48A08E2E" w14:textId="46D8452F" w:rsidR="00095DBD" w:rsidRDefault="00095DBD">
      <w:pPr>
        <w:pStyle w:val="TableofFigures"/>
        <w:tabs>
          <w:tab w:val="right" w:leader="dot" w:pos="9060"/>
        </w:tabs>
        <w:rPr>
          <w:rFonts w:asciiTheme="minorHAnsi" w:eastAsiaTheme="minorEastAsia" w:hAnsiTheme="minorHAnsi" w:cs="Vrinda"/>
          <w:noProof/>
          <w:color w:val="auto"/>
          <w:sz w:val="24"/>
          <w:szCs w:val="30"/>
          <w:lang w:val="en-SE" w:eastAsia="en-GB" w:bidi="bn-IN"/>
        </w:rPr>
      </w:pPr>
      <w:hyperlink w:anchor="_Toc103332722" w:history="1">
        <w:r w:rsidRPr="00AD3D34">
          <w:rPr>
            <w:rStyle w:val="Hyperlink"/>
            <w:noProof/>
          </w:rPr>
          <w:t>Figure 2. Graphical representation of cognitive spare capacity</w:t>
        </w:r>
        <w:r>
          <w:rPr>
            <w:noProof/>
            <w:webHidden/>
          </w:rPr>
          <w:tab/>
        </w:r>
        <w:r>
          <w:rPr>
            <w:noProof/>
            <w:webHidden/>
          </w:rPr>
          <w:fldChar w:fldCharType="begin"/>
        </w:r>
        <w:r>
          <w:rPr>
            <w:noProof/>
            <w:webHidden/>
          </w:rPr>
          <w:instrText xml:space="preserve"> PAGEREF _Toc103332722 \h </w:instrText>
        </w:r>
        <w:r>
          <w:rPr>
            <w:noProof/>
            <w:webHidden/>
          </w:rPr>
        </w:r>
        <w:r>
          <w:rPr>
            <w:noProof/>
            <w:webHidden/>
          </w:rPr>
          <w:fldChar w:fldCharType="separate"/>
        </w:r>
        <w:r>
          <w:rPr>
            <w:noProof/>
            <w:webHidden/>
          </w:rPr>
          <w:t>10</w:t>
        </w:r>
        <w:r>
          <w:rPr>
            <w:noProof/>
            <w:webHidden/>
          </w:rPr>
          <w:fldChar w:fldCharType="end"/>
        </w:r>
      </w:hyperlink>
    </w:p>
    <w:p w14:paraId="527B43B1" w14:textId="57771BBA" w:rsidR="00095DBD" w:rsidRDefault="00095DBD">
      <w:pPr>
        <w:pStyle w:val="TableofFigures"/>
        <w:tabs>
          <w:tab w:val="right" w:leader="dot" w:pos="9060"/>
        </w:tabs>
        <w:rPr>
          <w:rFonts w:asciiTheme="minorHAnsi" w:eastAsiaTheme="minorEastAsia" w:hAnsiTheme="minorHAnsi" w:cs="Vrinda"/>
          <w:noProof/>
          <w:color w:val="auto"/>
          <w:sz w:val="24"/>
          <w:szCs w:val="30"/>
          <w:lang w:val="en-SE" w:eastAsia="en-GB" w:bidi="bn-IN"/>
        </w:rPr>
      </w:pPr>
      <w:hyperlink w:anchor="_Toc103332723" w:history="1">
        <w:r w:rsidRPr="00AD3D34">
          <w:rPr>
            <w:rStyle w:val="Hyperlink"/>
            <w:noProof/>
          </w:rPr>
          <w:t>Figure 3. 10-20 system for the standardized electrode placement</w:t>
        </w:r>
        <w:r>
          <w:rPr>
            <w:noProof/>
            <w:webHidden/>
          </w:rPr>
          <w:tab/>
        </w:r>
        <w:r>
          <w:rPr>
            <w:noProof/>
            <w:webHidden/>
          </w:rPr>
          <w:fldChar w:fldCharType="begin"/>
        </w:r>
        <w:r>
          <w:rPr>
            <w:noProof/>
            <w:webHidden/>
          </w:rPr>
          <w:instrText xml:space="preserve"> PAGEREF _Toc103332723 \h </w:instrText>
        </w:r>
        <w:r>
          <w:rPr>
            <w:noProof/>
            <w:webHidden/>
          </w:rPr>
        </w:r>
        <w:r>
          <w:rPr>
            <w:noProof/>
            <w:webHidden/>
          </w:rPr>
          <w:fldChar w:fldCharType="separate"/>
        </w:r>
        <w:r>
          <w:rPr>
            <w:noProof/>
            <w:webHidden/>
          </w:rPr>
          <w:t>11</w:t>
        </w:r>
        <w:r>
          <w:rPr>
            <w:noProof/>
            <w:webHidden/>
          </w:rPr>
          <w:fldChar w:fldCharType="end"/>
        </w:r>
      </w:hyperlink>
    </w:p>
    <w:p w14:paraId="5DE0B3FE" w14:textId="390A7F39" w:rsidR="00095DBD" w:rsidRDefault="00095DBD">
      <w:pPr>
        <w:pStyle w:val="TableofFigures"/>
        <w:tabs>
          <w:tab w:val="right" w:leader="dot" w:pos="9060"/>
        </w:tabs>
        <w:rPr>
          <w:rFonts w:asciiTheme="minorHAnsi" w:eastAsiaTheme="minorEastAsia" w:hAnsiTheme="minorHAnsi" w:cs="Vrinda"/>
          <w:noProof/>
          <w:color w:val="auto"/>
          <w:sz w:val="24"/>
          <w:szCs w:val="30"/>
          <w:lang w:val="en-SE" w:eastAsia="en-GB" w:bidi="bn-IN"/>
        </w:rPr>
      </w:pPr>
      <w:hyperlink w:anchor="_Toc103332724" w:history="1">
        <w:r w:rsidRPr="00AD3D34">
          <w:rPr>
            <w:rStyle w:val="Hyperlink"/>
            <w:noProof/>
          </w:rPr>
          <w:t xml:space="preserve">Figure 4. Comparison of EEG bands over one second of activity. </w:t>
        </w:r>
        <w:r w:rsidRPr="00AD3D34">
          <w:rPr>
            <w:rStyle w:val="Hyperlink"/>
            <w:noProof/>
            <w:lang w:val="sv-SE"/>
          </w:rPr>
          <w:t>Gamma (30-100Hz), Beta (12-30Hz), Alpha (8-12Hz), Theta (4-7Hz), and Delta (0-4Hz).</w:t>
        </w:r>
        <w:r>
          <w:rPr>
            <w:noProof/>
            <w:webHidden/>
          </w:rPr>
          <w:tab/>
        </w:r>
        <w:r>
          <w:rPr>
            <w:noProof/>
            <w:webHidden/>
          </w:rPr>
          <w:fldChar w:fldCharType="begin"/>
        </w:r>
        <w:r>
          <w:rPr>
            <w:noProof/>
            <w:webHidden/>
          </w:rPr>
          <w:instrText xml:space="preserve"> PAGEREF _Toc103332724 \h </w:instrText>
        </w:r>
        <w:r>
          <w:rPr>
            <w:noProof/>
            <w:webHidden/>
          </w:rPr>
        </w:r>
        <w:r>
          <w:rPr>
            <w:noProof/>
            <w:webHidden/>
          </w:rPr>
          <w:fldChar w:fldCharType="separate"/>
        </w:r>
        <w:r>
          <w:rPr>
            <w:noProof/>
            <w:webHidden/>
          </w:rPr>
          <w:t>13</w:t>
        </w:r>
        <w:r>
          <w:rPr>
            <w:noProof/>
            <w:webHidden/>
          </w:rPr>
          <w:fldChar w:fldCharType="end"/>
        </w:r>
      </w:hyperlink>
    </w:p>
    <w:p w14:paraId="1065F72F" w14:textId="321B63EE" w:rsidR="00095DBD" w:rsidRDefault="00095DBD">
      <w:pPr>
        <w:pStyle w:val="TableofFigures"/>
        <w:tabs>
          <w:tab w:val="right" w:leader="dot" w:pos="9060"/>
        </w:tabs>
        <w:rPr>
          <w:rFonts w:asciiTheme="minorHAnsi" w:eastAsiaTheme="minorEastAsia" w:hAnsiTheme="minorHAnsi" w:cs="Vrinda"/>
          <w:noProof/>
          <w:color w:val="auto"/>
          <w:sz w:val="24"/>
          <w:szCs w:val="30"/>
          <w:lang w:val="en-SE" w:eastAsia="en-GB" w:bidi="bn-IN"/>
        </w:rPr>
      </w:pPr>
      <w:hyperlink w:anchor="_Toc103332725" w:history="1">
        <w:r w:rsidRPr="00AD3D34">
          <w:rPr>
            <w:rStyle w:val="Hyperlink"/>
            <w:noProof/>
          </w:rPr>
          <w:t>Figure 5. In the analysis of the GSR (or SC) two components are usually considered, the Skin Conductance level (SCL), and Skin Conductance Response (SCR).</w:t>
        </w:r>
        <w:r>
          <w:rPr>
            <w:noProof/>
            <w:webHidden/>
          </w:rPr>
          <w:tab/>
        </w:r>
        <w:r>
          <w:rPr>
            <w:noProof/>
            <w:webHidden/>
          </w:rPr>
          <w:fldChar w:fldCharType="begin"/>
        </w:r>
        <w:r>
          <w:rPr>
            <w:noProof/>
            <w:webHidden/>
          </w:rPr>
          <w:instrText xml:space="preserve"> PAGEREF _Toc103332725 \h </w:instrText>
        </w:r>
        <w:r>
          <w:rPr>
            <w:noProof/>
            <w:webHidden/>
          </w:rPr>
        </w:r>
        <w:r>
          <w:rPr>
            <w:noProof/>
            <w:webHidden/>
          </w:rPr>
          <w:fldChar w:fldCharType="separate"/>
        </w:r>
        <w:r>
          <w:rPr>
            <w:noProof/>
            <w:webHidden/>
          </w:rPr>
          <w:t>15</w:t>
        </w:r>
        <w:r>
          <w:rPr>
            <w:noProof/>
            <w:webHidden/>
          </w:rPr>
          <w:fldChar w:fldCharType="end"/>
        </w:r>
      </w:hyperlink>
    </w:p>
    <w:p w14:paraId="32C88CBC" w14:textId="4E4195D6" w:rsidR="00095DBD" w:rsidRDefault="00095DBD">
      <w:pPr>
        <w:pStyle w:val="TableofFigures"/>
        <w:tabs>
          <w:tab w:val="right" w:leader="dot" w:pos="9060"/>
        </w:tabs>
        <w:rPr>
          <w:rFonts w:asciiTheme="minorHAnsi" w:eastAsiaTheme="minorEastAsia" w:hAnsiTheme="minorHAnsi" w:cs="Vrinda"/>
          <w:noProof/>
          <w:color w:val="auto"/>
          <w:sz w:val="24"/>
          <w:szCs w:val="30"/>
          <w:lang w:val="en-SE" w:eastAsia="en-GB" w:bidi="bn-IN"/>
        </w:rPr>
      </w:pPr>
      <w:hyperlink w:anchor="_Toc103332726" w:history="1">
        <w:r w:rsidRPr="00AD3D34">
          <w:rPr>
            <w:rStyle w:val="Hyperlink"/>
            <w:noProof/>
          </w:rPr>
          <w:t>Figure 6. ATCOs wearing an EEG cap</w:t>
        </w:r>
        <w:r>
          <w:rPr>
            <w:noProof/>
            <w:webHidden/>
          </w:rPr>
          <w:tab/>
        </w:r>
        <w:r>
          <w:rPr>
            <w:noProof/>
            <w:webHidden/>
          </w:rPr>
          <w:fldChar w:fldCharType="begin"/>
        </w:r>
        <w:r>
          <w:rPr>
            <w:noProof/>
            <w:webHidden/>
          </w:rPr>
          <w:instrText xml:space="preserve"> PAGEREF _Toc103332726 \h </w:instrText>
        </w:r>
        <w:r>
          <w:rPr>
            <w:noProof/>
            <w:webHidden/>
          </w:rPr>
        </w:r>
        <w:r>
          <w:rPr>
            <w:noProof/>
            <w:webHidden/>
          </w:rPr>
          <w:fldChar w:fldCharType="separate"/>
        </w:r>
        <w:r>
          <w:rPr>
            <w:noProof/>
            <w:webHidden/>
          </w:rPr>
          <w:t>21</w:t>
        </w:r>
        <w:r>
          <w:rPr>
            <w:noProof/>
            <w:webHidden/>
          </w:rPr>
          <w:fldChar w:fldCharType="end"/>
        </w:r>
      </w:hyperlink>
    </w:p>
    <w:p w14:paraId="52CBC6C9" w14:textId="4319BD6C" w:rsidR="00095DBD" w:rsidRDefault="00095DBD">
      <w:pPr>
        <w:pStyle w:val="TableofFigures"/>
        <w:tabs>
          <w:tab w:val="right" w:leader="dot" w:pos="9060"/>
        </w:tabs>
        <w:rPr>
          <w:rFonts w:asciiTheme="minorHAnsi" w:eastAsiaTheme="minorEastAsia" w:hAnsiTheme="minorHAnsi" w:cs="Vrinda"/>
          <w:noProof/>
          <w:color w:val="auto"/>
          <w:sz w:val="24"/>
          <w:szCs w:val="30"/>
          <w:lang w:val="en-SE" w:eastAsia="en-GB" w:bidi="bn-IN"/>
        </w:rPr>
      </w:pPr>
      <w:hyperlink w:anchor="_Toc103332727" w:history="1">
        <w:r w:rsidRPr="00AD3D34">
          <w:rPr>
            <w:rStyle w:val="Hyperlink"/>
            <w:noProof/>
          </w:rPr>
          <w:t>Figure 7. BE Micro EEG recording device</w:t>
        </w:r>
        <w:r>
          <w:rPr>
            <w:noProof/>
            <w:webHidden/>
          </w:rPr>
          <w:tab/>
        </w:r>
        <w:r>
          <w:rPr>
            <w:noProof/>
            <w:webHidden/>
          </w:rPr>
          <w:fldChar w:fldCharType="begin"/>
        </w:r>
        <w:r>
          <w:rPr>
            <w:noProof/>
            <w:webHidden/>
          </w:rPr>
          <w:instrText xml:space="preserve"> PAGEREF _Toc103332727 \h </w:instrText>
        </w:r>
        <w:r>
          <w:rPr>
            <w:noProof/>
            <w:webHidden/>
          </w:rPr>
        </w:r>
        <w:r>
          <w:rPr>
            <w:noProof/>
            <w:webHidden/>
          </w:rPr>
          <w:fldChar w:fldCharType="separate"/>
        </w:r>
        <w:r>
          <w:rPr>
            <w:noProof/>
            <w:webHidden/>
          </w:rPr>
          <w:t>22</w:t>
        </w:r>
        <w:r>
          <w:rPr>
            <w:noProof/>
            <w:webHidden/>
          </w:rPr>
          <w:fldChar w:fldCharType="end"/>
        </w:r>
      </w:hyperlink>
    </w:p>
    <w:p w14:paraId="6E95F997" w14:textId="3F298990" w:rsidR="00095DBD" w:rsidRDefault="00095DBD">
      <w:pPr>
        <w:pStyle w:val="TableofFigures"/>
        <w:tabs>
          <w:tab w:val="right" w:leader="dot" w:pos="9060"/>
        </w:tabs>
        <w:rPr>
          <w:rFonts w:asciiTheme="minorHAnsi" w:eastAsiaTheme="minorEastAsia" w:hAnsiTheme="minorHAnsi" w:cs="Vrinda"/>
          <w:noProof/>
          <w:color w:val="auto"/>
          <w:sz w:val="24"/>
          <w:szCs w:val="30"/>
          <w:lang w:val="en-SE" w:eastAsia="en-GB" w:bidi="bn-IN"/>
        </w:rPr>
      </w:pPr>
      <w:hyperlink w:anchor="_Toc103332728" w:history="1">
        <w:r w:rsidRPr="00AD3D34">
          <w:rPr>
            <w:rStyle w:val="Hyperlink"/>
            <w:noProof/>
          </w:rPr>
          <w:t>Figure 8. The figure shows the shimmer GSR recording device</w:t>
        </w:r>
        <w:r>
          <w:rPr>
            <w:noProof/>
            <w:webHidden/>
          </w:rPr>
          <w:tab/>
        </w:r>
        <w:r>
          <w:rPr>
            <w:noProof/>
            <w:webHidden/>
          </w:rPr>
          <w:fldChar w:fldCharType="begin"/>
        </w:r>
        <w:r>
          <w:rPr>
            <w:noProof/>
            <w:webHidden/>
          </w:rPr>
          <w:instrText xml:space="preserve"> PAGEREF _Toc103332728 \h </w:instrText>
        </w:r>
        <w:r>
          <w:rPr>
            <w:noProof/>
            <w:webHidden/>
          </w:rPr>
        </w:r>
        <w:r>
          <w:rPr>
            <w:noProof/>
            <w:webHidden/>
          </w:rPr>
          <w:fldChar w:fldCharType="separate"/>
        </w:r>
        <w:r>
          <w:rPr>
            <w:noProof/>
            <w:webHidden/>
          </w:rPr>
          <w:t>23</w:t>
        </w:r>
        <w:r>
          <w:rPr>
            <w:noProof/>
            <w:webHidden/>
          </w:rPr>
          <w:fldChar w:fldCharType="end"/>
        </w:r>
      </w:hyperlink>
    </w:p>
    <w:p w14:paraId="0ADAE8BB" w14:textId="719D4468" w:rsidR="00A4045F" w:rsidRDefault="00A4045F" w:rsidP="00B7435F">
      <w:pPr>
        <w:rPr>
          <w:b/>
          <w:bCs/>
          <w:i/>
          <w:iCs/>
          <w:sz w:val="24"/>
          <w:szCs w:val="24"/>
        </w:rPr>
      </w:pPr>
      <w:r>
        <w:rPr>
          <w:b/>
          <w:bCs/>
          <w:i/>
          <w:iCs/>
          <w:sz w:val="24"/>
          <w:szCs w:val="24"/>
        </w:rPr>
        <w:fldChar w:fldCharType="end"/>
      </w:r>
    </w:p>
    <w:p w14:paraId="65F16EAB" w14:textId="77777777" w:rsidR="00821405" w:rsidRPr="00821405" w:rsidRDefault="00821405" w:rsidP="00821405">
      <w:pPr>
        <w:pStyle w:val="Header"/>
      </w:pPr>
      <w:r w:rsidRPr="00821405">
        <w:t>List of Acronyms</w:t>
      </w:r>
    </w:p>
    <w:tbl>
      <w:tblPr>
        <w:tblW w:w="9150" w:type="dxa"/>
        <w:tblBorders>
          <w:top w:val="single" w:sz="8" w:space="0" w:color="4E88C7"/>
          <w:bottom w:val="single" w:sz="8" w:space="0" w:color="4E88C7"/>
        </w:tblBorders>
        <w:tblLayout w:type="fixed"/>
        <w:tblCellMar>
          <w:left w:w="115" w:type="dxa"/>
          <w:right w:w="115" w:type="dxa"/>
        </w:tblCellMar>
        <w:tblLook w:val="0400" w:firstRow="0" w:lastRow="0" w:firstColumn="0" w:lastColumn="0" w:noHBand="0" w:noVBand="1"/>
      </w:tblPr>
      <w:tblGrid>
        <w:gridCol w:w="1350"/>
        <w:gridCol w:w="7800"/>
      </w:tblGrid>
      <w:tr w:rsidR="00821405" w14:paraId="47CC58E1" w14:textId="77777777" w:rsidTr="00DE3760">
        <w:tc>
          <w:tcPr>
            <w:tcW w:w="1350" w:type="dxa"/>
            <w:tcBorders>
              <w:top w:val="single" w:sz="4" w:space="0" w:color="4E88C7"/>
              <w:bottom w:val="single" w:sz="4" w:space="0" w:color="4E88C7"/>
            </w:tcBorders>
            <w:shd w:val="clear" w:color="auto" w:fill="DBE5F1" w:themeFill="accent1" w:themeFillTint="33"/>
            <w:tcMar>
              <w:left w:w="0" w:type="dxa"/>
            </w:tcMar>
          </w:tcPr>
          <w:p w14:paraId="7A2F926D" w14:textId="77777777" w:rsidR="00821405" w:rsidRDefault="00821405" w:rsidP="00DE3760">
            <w:pPr>
              <w:pBdr>
                <w:top w:val="nil"/>
                <w:left w:val="nil"/>
                <w:bottom w:val="nil"/>
                <w:right w:val="nil"/>
                <w:between w:val="nil"/>
              </w:pBdr>
              <w:spacing w:before="60" w:after="60"/>
              <w:rPr>
                <w:b/>
                <w:sz w:val="20"/>
                <w:szCs w:val="20"/>
              </w:rPr>
            </w:pPr>
            <w:r>
              <w:rPr>
                <w:sz w:val="20"/>
                <w:szCs w:val="20"/>
              </w:rPr>
              <w:t>Acronym</w:t>
            </w:r>
          </w:p>
        </w:tc>
        <w:tc>
          <w:tcPr>
            <w:tcW w:w="7800" w:type="dxa"/>
            <w:tcBorders>
              <w:top w:val="single" w:sz="4" w:space="0" w:color="4E88C7"/>
              <w:left w:val="nil"/>
              <w:bottom w:val="single" w:sz="4" w:space="0" w:color="4E88C7"/>
              <w:right w:val="nil"/>
            </w:tcBorders>
            <w:shd w:val="clear" w:color="auto" w:fill="DBE7F3"/>
          </w:tcPr>
          <w:p w14:paraId="0E11468D" w14:textId="77777777" w:rsidR="00821405" w:rsidRDefault="00821405" w:rsidP="00DE3760">
            <w:pPr>
              <w:pBdr>
                <w:top w:val="nil"/>
                <w:left w:val="nil"/>
                <w:bottom w:val="nil"/>
                <w:right w:val="nil"/>
                <w:between w:val="nil"/>
              </w:pBdr>
              <w:spacing w:before="60" w:after="60"/>
              <w:rPr>
                <w:b/>
                <w:sz w:val="20"/>
                <w:szCs w:val="20"/>
              </w:rPr>
            </w:pPr>
            <w:r>
              <w:rPr>
                <w:sz w:val="20"/>
                <w:szCs w:val="20"/>
              </w:rPr>
              <w:t>Definition</w:t>
            </w:r>
          </w:p>
        </w:tc>
      </w:tr>
      <w:tr w:rsidR="00821405" w14:paraId="7F0C1D1D" w14:textId="77777777" w:rsidTr="00DE3760">
        <w:tc>
          <w:tcPr>
            <w:tcW w:w="1350" w:type="dxa"/>
            <w:tcBorders>
              <w:top w:val="single" w:sz="4" w:space="0" w:color="4E88C7"/>
              <w:bottom w:val="single" w:sz="4" w:space="0" w:color="4E88C7"/>
            </w:tcBorders>
            <w:shd w:val="clear" w:color="auto" w:fill="auto"/>
            <w:tcMar>
              <w:left w:w="0" w:type="dxa"/>
            </w:tcMar>
          </w:tcPr>
          <w:p w14:paraId="057A786C" w14:textId="77777777" w:rsidR="00821405" w:rsidRDefault="00821405" w:rsidP="00DE3760">
            <w:pPr>
              <w:pBdr>
                <w:top w:val="nil"/>
                <w:left w:val="nil"/>
                <w:bottom w:val="nil"/>
                <w:right w:val="nil"/>
                <w:between w:val="nil"/>
              </w:pBdr>
              <w:spacing w:before="60" w:after="60"/>
              <w:rPr>
                <w:sz w:val="20"/>
                <w:szCs w:val="20"/>
              </w:rPr>
            </w:pPr>
            <w:r>
              <w:rPr>
                <w:sz w:val="20"/>
                <w:szCs w:val="20"/>
              </w:rPr>
              <w:t>Ag/AgCl</w:t>
            </w:r>
          </w:p>
        </w:tc>
        <w:tc>
          <w:tcPr>
            <w:tcW w:w="7800" w:type="dxa"/>
            <w:tcBorders>
              <w:top w:val="single" w:sz="4" w:space="0" w:color="4E88C7"/>
              <w:left w:val="nil"/>
              <w:bottom w:val="single" w:sz="4" w:space="0" w:color="4E88C7"/>
              <w:right w:val="nil"/>
            </w:tcBorders>
            <w:shd w:val="clear" w:color="auto" w:fill="auto"/>
          </w:tcPr>
          <w:p w14:paraId="466A820E" w14:textId="77777777" w:rsidR="00821405" w:rsidRDefault="00821405" w:rsidP="00DE3760">
            <w:pPr>
              <w:pBdr>
                <w:top w:val="nil"/>
                <w:left w:val="nil"/>
                <w:bottom w:val="nil"/>
                <w:right w:val="nil"/>
                <w:between w:val="nil"/>
              </w:pBdr>
              <w:spacing w:before="60" w:after="60"/>
              <w:rPr>
                <w:sz w:val="20"/>
                <w:szCs w:val="20"/>
              </w:rPr>
            </w:pPr>
            <w:r>
              <w:rPr>
                <w:sz w:val="20"/>
                <w:szCs w:val="20"/>
              </w:rPr>
              <w:t>Silver/Silver Chloride</w:t>
            </w:r>
          </w:p>
        </w:tc>
      </w:tr>
      <w:tr w:rsidR="00821405" w14:paraId="3FF70951" w14:textId="77777777" w:rsidTr="00DE3760">
        <w:tc>
          <w:tcPr>
            <w:tcW w:w="1350" w:type="dxa"/>
            <w:tcBorders>
              <w:top w:val="single" w:sz="4" w:space="0" w:color="4E88C7"/>
              <w:bottom w:val="single" w:sz="4" w:space="0" w:color="4E88C7"/>
            </w:tcBorders>
            <w:shd w:val="clear" w:color="auto" w:fill="auto"/>
            <w:tcMar>
              <w:left w:w="0" w:type="dxa"/>
            </w:tcMar>
          </w:tcPr>
          <w:p w14:paraId="0EC5CD10" w14:textId="77777777" w:rsidR="00821405" w:rsidRDefault="00821405" w:rsidP="00DE3760">
            <w:pPr>
              <w:pBdr>
                <w:top w:val="nil"/>
                <w:left w:val="nil"/>
                <w:bottom w:val="nil"/>
                <w:right w:val="nil"/>
                <w:between w:val="nil"/>
              </w:pBdr>
              <w:spacing w:before="60" w:after="60"/>
              <w:rPr>
                <w:sz w:val="20"/>
                <w:szCs w:val="20"/>
              </w:rPr>
            </w:pPr>
            <w:r>
              <w:rPr>
                <w:sz w:val="20"/>
                <w:szCs w:val="20"/>
              </w:rPr>
              <w:t>AW</w:t>
            </w:r>
          </w:p>
        </w:tc>
        <w:tc>
          <w:tcPr>
            <w:tcW w:w="7800" w:type="dxa"/>
            <w:tcBorders>
              <w:top w:val="single" w:sz="4" w:space="0" w:color="4E88C7"/>
              <w:left w:val="nil"/>
              <w:bottom w:val="single" w:sz="4" w:space="0" w:color="4E88C7"/>
              <w:right w:val="nil"/>
            </w:tcBorders>
            <w:shd w:val="clear" w:color="auto" w:fill="auto"/>
          </w:tcPr>
          <w:p w14:paraId="5558851A" w14:textId="77777777" w:rsidR="00821405" w:rsidRDefault="00821405" w:rsidP="00DE3760">
            <w:pPr>
              <w:pBdr>
                <w:top w:val="nil"/>
                <w:left w:val="nil"/>
                <w:bottom w:val="nil"/>
                <w:right w:val="nil"/>
                <w:between w:val="nil"/>
              </w:pBdr>
              <w:spacing w:before="60" w:after="60"/>
              <w:rPr>
                <w:sz w:val="20"/>
                <w:szCs w:val="20"/>
              </w:rPr>
            </w:pPr>
            <w:r>
              <w:rPr>
                <w:sz w:val="20"/>
                <w:szCs w:val="20"/>
              </w:rPr>
              <w:t>Approach-Withdrawal Neurometric</w:t>
            </w:r>
          </w:p>
        </w:tc>
      </w:tr>
      <w:tr w:rsidR="00821405" w14:paraId="402B722C" w14:textId="77777777" w:rsidTr="00DE3760">
        <w:tc>
          <w:tcPr>
            <w:tcW w:w="1350" w:type="dxa"/>
            <w:tcBorders>
              <w:top w:val="single" w:sz="4" w:space="0" w:color="4E88C7"/>
              <w:bottom w:val="single" w:sz="4" w:space="0" w:color="4E88C7"/>
            </w:tcBorders>
            <w:shd w:val="clear" w:color="auto" w:fill="auto"/>
            <w:tcMar>
              <w:left w:w="0" w:type="dxa"/>
            </w:tcMar>
          </w:tcPr>
          <w:p w14:paraId="032D3E39" w14:textId="77777777" w:rsidR="00821405" w:rsidRDefault="00821405" w:rsidP="00DE3760">
            <w:pPr>
              <w:pBdr>
                <w:top w:val="nil"/>
                <w:left w:val="nil"/>
                <w:bottom w:val="nil"/>
                <w:right w:val="nil"/>
                <w:between w:val="nil"/>
              </w:pBdr>
              <w:spacing w:before="60" w:after="60"/>
              <w:rPr>
                <w:sz w:val="20"/>
                <w:szCs w:val="20"/>
              </w:rPr>
            </w:pPr>
            <w:r>
              <w:rPr>
                <w:sz w:val="20"/>
                <w:szCs w:val="20"/>
              </w:rPr>
              <w:t>C</w:t>
            </w:r>
          </w:p>
        </w:tc>
        <w:tc>
          <w:tcPr>
            <w:tcW w:w="7800" w:type="dxa"/>
            <w:tcBorders>
              <w:top w:val="single" w:sz="4" w:space="0" w:color="4E88C7"/>
              <w:left w:val="nil"/>
              <w:bottom w:val="single" w:sz="4" w:space="0" w:color="4E88C7"/>
              <w:right w:val="nil"/>
            </w:tcBorders>
            <w:shd w:val="clear" w:color="auto" w:fill="auto"/>
          </w:tcPr>
          <w:p w14:paraId="79B8C35B" w14:textId="77777777" w:rsidR="00821405" w:rsidRDefault="00821405" w:rsidP="00DE3760">
            <w:pPr>
              <w:pBdr>
                <w:top w:val="nil"/>
                <w:left w:val="nil"/>
                <w:bottom w:val="nil"/>
                <w:right w:val="nil"/>
                <w:between w:val="nil"/>
              </w:pBdr>
              <w:spacing w:before="60" w:after="60"/>
              <w:rPr>
                <w:sz w:val="20"/>
                <w:szCs w:val="20"/>
              </w:rPr>
            </w:pPr>
            <w:r>
              <w:rPr>
                <w:sz w:val="20"/>
                <w:szCs w:val="20"/>
              </w:rPr>
              <w:t>Central</w:t>
            </w:r>
          </w:p>
        </w:tc>
      </w:tr>
      <w:tr w:rsidR="00821405" w14:paraId="52031D71" w14:textId="77777777" w:rsidTr="00DE3760">
        <w:tc>
          <w:tcPr>
            <w:tcW w:w="1350" w:type="dxa"/>
            <w:tcBorders>
              <w:top w:val="single" w:sz="4" w:space="0" w:color="4E88C7"/>
              <w:bottom w:val="single" w:sz="4" w:space="0" w:color="4E88C7"/>
            </w:tcBorders>
            <w:shd w:val="clear" w:color="auto" w:fill="auto"/>
            <w:tcMar>
              <w:left w:w="0" w:type="dxa"/>
            </w:tcMar>
          </w:tcPr>
          <w:p w14:paraId="5DC7D2FB" w14:textId="77777777" w:rsidR="00821405" w:rsidRDefault="00821405" w:rsidP="00DE3760">
            <w:pPr>
              <w:spacing w:before="60" w:after="60"/>
              <w:rPr>
                <w:sz w:val="20"/>
                <w:szCs w:val="20"/>
              </w:rPr>
            </w:pPr>
            <w:r>
              <w:rPr>
                <w:sz w:val="20"/>
                <w:szCs w:val="20"/>
              </w:rPr>
              <w:t>CNS</w:t>
            </w:r>
          </w:p>
        </w:tc>
        <w:tc>
          <w:tcPr>
            <w:tcW w:w="7800" w:type="dxa"/>
            <w:tcBorders>
              <w:top w:val="single" w:sz="4" w:space="0" w:color="4E88C7"/>
              <w:left w:val="nil"/>
              <w:bottom w:val="single" w:sz="4" w:space="0" w:color="4E88C7"/>
              <w:right w:val="nil"/>
            </w:tcBorders>
            <w:shd w:val="clear" w:color="auto" w:fill="auto"/>
          </w:tcPr>
          <w:p w14:paraId="55F5CE95" w14:textId="77777777" w:rsidR="00821405" w:rsidRDefault="00821405" w:rsidP="00DE3760">
            <w:pPr>
              <w:spacing w:before="60" w:after="60"/>
              <w:rPr>
                <w:sz w:val="20"/>
                <w:szCs w:val="20"/>
              </w:rPr>
            </w:pPr>
            <w:r>
              <w:rPr>
                <w:sz w:val="20"/>
                <w:szCs w:val="20"/>
              </w:rPr>
              <w:t>Central Nervous System</w:t>
            </w:r>
          </w:p>
        </w:tc>
      </w:tr>
      <w:tr w:rsidR="00821405" w14:paraId="12189463" w14:textId="77777777" w:rsidTr="00DE3760">
        <w:tc>
          <w:tcPr>
            <w:tcW w:w="1350" w:type="dxa"/>
            <w:tcBorders>
              <w:top w:val="single" w:sz="4" w:space="0" w:color="4E88C7"/>
              <w:bottom w:val="single" w:sz="4" w:space="0" w:color="4E88C7"/>
            </w:tcBorders>
            <w:shd w:val="clear" w:color="auto" w:fill="auto"/>
            <w:tcMar>
              <w:left w:w="0" w:type="dxa"/>
            </w:tcMar>
          </w:tcPr>
          <w:p w14:paraId="5C8D66CB" w14:textId="77777777" w:rsidR="00821405" w:rsidRDefault="00821405" w:rsidP="00DE3760">
            <w:pPr>
              <w:pBdr>
                <w:top w:val="nil"/>
                <w:left w:val="nil"/>
                <w:bottom w:val="nil"/>
                <w:right w:val="nil"/>
                <w:between w:val="nil"/>
              </w:pBdr>
              <w:spacing w:before="60" w:after="60"/>
              <w:rPr>
                <w:sz w:val="20"/>
                <w:szCs w:val="20"/>
              </w:rPr>
            </w:pPr>
            <w:r>
              <w:rPr>
                <w:sz w:val="20"/>
                <w:szCs w:val="20"/>
              </w:rPr>
              <w:t>ECoG</w:t>
            </w:r>
          </w:p>
        </w:tc>
        <w:tc>
          <w:tcPr>
            <w:tcW w:w="7800" w:type="dxa"/>
            <w:tcBorders>
              <w:top w:val="single" w:sz="4" w:space="0" w:color="4E88C7"/>
              <w:left w:val="nil"/>
              <w:bottom w:val="single" w:sz="4" w:space="0" w:color="4E88C7"/>
              <w:right w:val="nil"/>
            </w:tcBorders>
            <w:shd w:val="clear" w:color="auto" w:fill="auto"/>
          </w:tcPr>
          <w:p w14:paraId="37AD656B" w14:textId="77777777" w:rsidR="00821405" w:rsidRDefault="00821405" w:rsidP="00DE3760">
            <w:pPr>
              <w:pBdr>
                <w:top w:val="nil"/>
                <w:left w:val="nil"/>
                <w:bottom w:val="nil"/>
                <w:right w:val="nil"/>
                <w:between w:val="nil"/>
              </w:pBdr>
              <w:spacing w:before="60" w:after="60"/>
              <w:rPr>
                <w:sz w:val="20"/>
                <w:szCs w:val="20"/>
              </w:rPr>
            </w:pPr>
            <w:r>
              <w:rPr>
                <w:sz w:val="20"/>
                <w:szCs w:val="20"/>
              </w:rPr>
              <w:t>Electrocorticography</w:t>
            </w:r>
          </w:p>
        </w:tc>
      </w:tr>
      <w:tr w:rsidR="00821405" w14:paraId="48BF1FFB" w14:textId="77777777" w:rsidTr="00DE3760">
        <w:tc>
          <w:tcPr>
            <w:tcW w:w="1350" w:type="dxa"/>
            <w:tcBorders>
              <w:top w:val="single" w:sz="4" w:space="0" w:color="4E88C7"/>
              <w:bottom w:val="single" w:sz="4" w:space="0" w:color="4E88C7"/>
            </w:tcBorders>
            <w:shd w:val="clear" w:color="auto" w:fill="auto"/>
            <w:tcMar>
              <w:left w:w="0" w:type="dxa"/>
            </w:tcMar>
          </w:tcPr>
          <w:p w14:paraId="54015DA0" w14:textId="77777777" w:rsidR="00821405" w:rsidRDefault="00821405" w:rsidP="00DE3760">
            <w:pPr>
              <w:pBdr>
                <w:top w:val="nil"/>
                <w:left w:val="nil"/>
                <w:bottom w:val="nil"/>
                <w:right w:val="nil"/>
                <w:between w:val="nil"/>
              </w:pBdr>
              <w:spacing w:before="60" w:after="60"/>
              <w:rPr>
                <w:sz w:val="20"/>
                <w:szCs w:val="20"/>
              </w:rPr>
            </w:pPr>
            <w:r>
              <w:rPr>
                <w:sz w:val="20"/>
                <w:szCs w:val="20"/>
              </w:rPr>
              <w:t>EDA</w:t>
            </w:r>
          </w:p>
        </w:tc>
        <w:tc>
          <w:tcPr>
            <w:tcW w:w="7800" w:type="dxa"/>
            <w:tcBorders>
              <w:top w:val="single" w:sz="4" w:space="0" w:color="4E88C7"/>
              <w:left w:val="nil"/>
              <w:bottom w:val="single" w:sz="4" w:space="0" w:color="4E88C7"/>
              <w:right w:val="nil"/>
            </w:tcBorders>
            <w:shd w:val="clear" w:color="auto" w:fill="auto"/>
          </w:tcPr>
          <w:p w14:paraId="53719DCA" w14:textId="77777777" w:rsidR="00821405" w:rsidRDefault="00821405" w:rsidP="00DE3760">
            <w:pPr>
              <w:pBdr>
                <w:top w:val="nil"/>
                <w:left w:val="nil"/>
                <w:bottom w:val="nil"/>
                <w:right w:val="nil"/>
                <w:between w:val="nil"/>
              </w:pBdr>
              <w:spacing w:before="60" w:after="60"/>
              <w:rPr>
                <w:sz w:val="20"/>
                <w:szCs w:val="20"/>
              </w:rPr>
            </w:pPr>
            <w:r>
              <w:rPr>
                <w:sz w:val="20"/>
                <w:szCs w:val="20"/>
              </w:rPr>
              <w:t>Electrodermal Activity</w:t>
            </w:r>
          </w:p>
        </w:tc>
      </w:tr>
      <w:tr w:rsidR="00821405" w14:paraId="0186166A" w14:textId="77777777" w:rsidTr="00DE3760">
        <w:tc>
          <w:tcPr>
            <w:tcW w:w="1350" w:type="dxa"/>
            <w:tcBorders>
              <w:top w:val="single" w:sz="4" w:space="0" w:color="4E88C7"/>
              <w:bottom w:val="single" w:sz="4" w:space="0" w:color="4E88C7"/>
            </w:tcBorders>
            <w:shd w:val="clear" w:color="auto" w:fill="auto"/>
            <w:tcMar>
              <w:left w:w="0" w:type="dxa"/>
            </w:tcMar>
          </w:tcPr>
          <w:p w14:paraId="673AB29A" w14:textId="77777777" w:rsidR="00821405" w:rsidRDefault="00821405" w:rsidP="00DE3760">
            <w:pPr>
              <w:pBdr>
                <w:top w:val="nil"/>
                <w:left w:val="nil"/>
                <w:bottom w:val="nil"/>
                <w:right w:val="nil"/>
                <w:between w:val="nil"/>
              </w:pBdr>
              <w:spacing w:before="60" w:after="60"/>
              <w:rPr>
                <w:sz w:val="20"/>
                <w:szCs w:val="20"/>
              </w:rPr>
            </w:pPr>
            <w:r>
              <w:rPr>
                <w:sz w:val="20"/>
                <w:szCs w:val="20"/>
              </w:rPr>
              <w:t>EEG</w:t>
            </w:r>
          </w:p>
        </w:tc>
        <w:tc>
          <w:tcPr>
            <w:tcW w:w="7800" w:type="dxa"/>
            <w:tcBorders>
              <w:top w:val="single" w:sz="4" w:space="0" w:color="4E88C7"/>
              <w:bottom w:val="single" w:sz="4" w:space="0" w:color="4E88C7"/>
            </w:tcBorders>
            <w:shd w:val="clear" w:color="auto" w:fill="auto"/>
          </w:tcPr>
          <w:p w14:paraId="51E2B6A7" w14:textId="77777777" w:rsidR="00821405" w:rsidRDefault="00821405" w:rsidP="00DE3760">
            <w:pPr>
              <w:pBdr>
                <w:top w:val="nil"/>
                <w:left w:val="nil"/>
                <w:bottom w:val="nil"/>
                <w:right w:val="nil"/>
                <w:between w:val="nil"/>
              </w:pBdr>
              <w:spacing w:before="60" w:after="60"/>
              <w:rPr>
                <w:sz w:val="20"/>
                <w:szCs w:val="20"/>
              </w:rPr>
            </w:pPr>
            <w:r>
              <w:rPr>
                <w:sz w:val="20"/>
                <w:szCs w:val="20"/>
              </w:rPr>
              <w:t>Electroencelography</w:t>
            </w:r>
          </w:p>
        </w:tc>
      </w:tr>
      <w:tr w:rsidR="00821405" w14:paraId="05DEC054" w14:textId="77777777" w:rsidTr="00DE3760">
        <w:tc>
          <w:tcPr>
            <w:tcW w:w="1350" w:type="dxa"/>
            <w:tcBorders>
              <w:top w:val="single" w:sz="4" w:space="0" w:color="4E88C7"/>
              <w:bottom w:val="single" w:sz="4" w:space="0" w:color="4E88C7"/>
            </w:tcBorders>
            <w:shd w:val="clear" w:color="auto" w:fill="auto"/>
            <w:tcMar>
              <w:left w:w="0" w:type="dxa"/>
            </w:tcMar>
          </w:tcPr>
          <w:p w14:paraId="101689A6" w14:textId="77777777" w:rsidR="00821405" w:rsidRDefault="00821405" w:rsidP="00DE3760">
            <w:pPr>
              <w:pBdr>
                <w:top w:val="nil"/>
                <w:left w:val="nil"/>
                <w:bottom w:val="nil"/>
                <w:right w:val="nil"/>
                <w:between w:val="nil"/>
              </w:pBdr>
              <w:spacing w:before="60" w:after="60"/>
              <w:rPr>
                <w:sz w:val="20"/>
                <w:szCs w:val="20"/>
              </w:rPr>
            </w:pPr>
            <w:r>
              <w:rPr>
                <w:sz w:val="20"/>
                <w:szCs w:val="20"/>
              </w:rPr>
              <w:t>F</w:t>
            </w:r>
          </w:p>
        </w:tc>
        <w:tc>
          <w:tcPr>
            <w:tcW w:w="7800" w:type="dxa"/>
            <w:tcBorders>
              <w:top w:val="single" w:sz="4" w:space="0" w:color="4E88C7"/>
              <w:left w:val="nil"/>
              <w:bottom w:val="single" w:sz="4" w:space="0" w:color="4E88C7"/>
              <w:right w:val="nil"/>
            </w:tcBorders>
            <w:shd w:val="clear" w:color="auto" w:fill="auto"/>
          </w:tcPr>
          <w:p w14:paraId="4BAB4E11" w14:textId="77777777" w:rsidR="00821405" w:rsidRDefault="00821405" w:rsidP="00DE3760">
            <w:pPr>
              <w:pBdr>
                <w:top w:val="nil"/>
                <w:left w:val="nil"/>
                <w:bottom w:val="nil"/>
                <w:right w:val="nil"/>
                <w:between w:val="nil"/>
              </w:pBdr>
              <w:spacing w:before="60" w:after="60"/>
              <w:rPr>
                <w:sz w:val="20"/>
                <w:szCs w:val="20"/>
              </w:rPr>
            </w:pPr>
            <w:r>
              <w:rPr>
                <w:sz w:val="20"/>
                <w:szCs w:val="20"/>
              </w:rPr>
              <w:t>Frontal</w:t>
            </w:r>
          </w:p>
        </w:tc>
      </w:tr>
      <w:tr w:rsidR="00821405" w14:paraId="527D4048" w14:textId="77777777" w:rsidTr="00DE3760">
        <w:tc>
          <w:tcPr>
            <w:tcW w:w="1350" w:type="dxa"/>
            <w:tcBorders>
              <w:top w:val="single" w:sz="4" w:space="0" w:color="4E88C7"/>
              <w:bottom w:val="single" w:sz="4" w:space="0" w:color="4E88C7"/>
            </w:tcBorders>
            <w:shd w:val="clear" w:color="auto" w:fill="auto"/>
            <w:tcMar>
              <w:left w:w="0" w:type="dxa"/>
            </w:tcMar>
          </w:tcPr>
          <w:p w14:paraId="4D84FFBA" w14:textId="77777777" w:rsidR="00821405" w:rsidRDefault="00821405" w:rsidP="00DE3760">
            <w:pPr>
              <w:pBdr>
                <w:top w:val="nil"/>
                <w:left w:val="nil"/>
                <w:bottom w:val="nil"/>
                <w:right w:val="nil"/>
                <w:between w:val="nil"/>
              </w:pBdr>
              <w:spacing w:before="60" w:after="60"/>
              <w:rPr>
                <w:sz w:val="20"/>
                <w:szCs w:val="20"/>
              </w:rPr>
            </w:pPr>
            <w:r>
              <w:rPr>
                <w:sz w:val="20"/>
                <w:szCs w:val="20"/>
              </w:rPr>
              <w:t>GFP</w:t>
            </w:r>
          </w:p>
        </w:tc>
        <w:tc>
          <w:tcPr>
            <w:tcW w:w="7800" w:type="dxa"/>
            <w:tcBorders>
              <w:top w:val="single" w:sz="4" w:space="0" w:color="4E88C7"/>
              <w:left w:val="nil"/>
              <w:bottom w:val="single" w:sz="4" w:space="0" w:color="4E88C7"/>
              <w:right w:val="nil"/>
            </w:tcBorders>
            <w:shd w:val="clear" w:color="auto" w:fill="auto"/>
          </w:tcPr>
          <w:p w14:paraId="025358AB" w14:textId="77777777" w:rsidR="00821405" w:rsidRDefault="00821405" w:rsidP="00DE3760">
            <w:pPr>
              <w:pBdr>
                <w:top w:val="nil"/>
                <w:left w:val="nil"/>
                <w:bottom w:val="nil"/>
                <w:right w:val="nil"/>
                <w:between w:val="nil"/>
              </w:pBdr>
              <w:spacing w:before="60" w:after="60"/>
              <w:rPr>
                <w:sz w:val="20"/>
                <w:szCs w:val="20"/>
              </w:rPr>
            </w:pPr>
            <w:r>
              <w:rPr>
                <w:sz w:val="20"/>
                <w:szCs w:val="20"/>
              </w:rPr>
              <w:t>Global Field Power</w:t>
            </w:r>
          </w:p>
        </w:tc>
      </w:tr>
      <w:tr w:rsidR="00821405" w14:paraId="62396744" w14:textId="77777777" w:rsidTr="00DE3760">
        <w:tc>
          <w:tcPr>
            <w:tcW w:w="1350" w:type="dxa"/>
            <w:tcBorders>
              <w:top w:val="single" w:sz="4" w:space="0" w:color="4E88C7"/>
              <w:bottom w:val="single" w:sz="4" w:space="0" w:color="4E88C7"/>
            </w:tcBorders>
            <w:shd w:val="clear" w:color="auto" w:fill="auto"/>
            <w:tcMar>
              <w:left w:w="0" w:type="dxa"/>
            </w:tcMar>
          </w:tcPr>
          <w:p w14:paraId="2A17F1C9" w14:textId="77777777" w:rsidR="00821405" w:rsidRDefault="00821405" w:rsidP="00DE3760">
            <w:pPr>
              <w:pBdr>
                <w:top w:val="nil"/>
                <w:left w:val="nil"/>
                <w:bottom w:val="nil"/>
                <w:right w:val="nil"/>
                <w:between w:val="nil"/>
              </w:pBdr>
              <w:spacing w:before="60" w:after="60"/>
              <w:rPr>
                <w:sz w:val="20"/>
                <w:szCs w:val="20"/>
              </w:rPr>
            </w:pPr>
            <w:r>
              <w:rPr>
                <w:sz w:val="20"/>
                <w:szCs w:val="20"/>
              </w:rPr>
              <w:t>GSR</w:t>
            </w:r>
          </w:p>
        </w:tc>
        <w:tc>
          <w:tcPr>
            <w:tcW w:w="7800" w:type="dxa"/>
            <w:tcBorders>
              <w:top w:val="single" w:sz="4" w:space="0" w:color="4E88C7"/>
              <w:bottom w:val="single" w:sz="4" w:space="0" w:color="4E88C7"/>
            </w:tcBorders>
            <w:shd w:val="clear" w:color="auto" w:fill="auto"/>
          </w:tcPr>
          <w:p w14:paraId="73A37E83" w14:textId="77777777" w:rsidR="00821405" w:rsidRDefault="00821405" w:rsidP="00DE3760">
            <w:pPr>
              <w:pBdr>
                <w:top w:val="nil"/>
                <w:left w:val="nil"/>
                <w:bottom w:val="nil"/>
                <w:right w:val="nil"/>
                <w:between w:val="nil"/>
              </w:pBdr>
              <w:spacing w:before="60" w:after="60"/>
              <w:rPr>
                <w:sz w:val="20"/>
                <w:szCs w:val="20"/>
              </w:rPr>
            </w:pPr>
            <w:r>
              <w:rPr>
                <w:sz w:val="20"/>
                <w:szCs w:val="20"/>
              </w:rPr>
              <w:t>Galvanic Skin Responce</w:t>
            </w:r>
          </w:p>
        </w:tc>
      </w:tr>
      <w:tr w:rsidR="00821405" w14:paraId="139DA926" w14:textId="77777777" w:rsidTr="00DE3760">
        <w:tc>
          <w:tcPr>
            <w:tcW w:w="1350" w:type="dxa"/>
            <w:tcBorders>
              <w:top w:val="single" w:sz="4" w:space="0" w:color="4E88C7"/>
              <w:bottom w:val="single" w:sz="4" w:space="0" w:color="4E88C7"/>
            </w:tcBorders>
            <w:shd w:val="clear" w:color="auto" w:fill="auto"/>
            <w:tcMar>
              <w:left w:w="0" w:type="dxa"/>
            </w:tcMar>
          </w:tcPr>
          <w:p w14:paraId="4F3B8953" w14:textId="77777777" w:rsidR="00821405" w:rsidRDefault="00821405" w:rsidP="00DE3760">
            <w:pPr>
              <w:pBdr>
                <w:top w:val="nil"/>
                <w:left w:val="nil"/>
                <w:bottom w:val="nil"/>
                <w:right w:val="nil"/>
                <w:between w:val="nil"/>
              </w:pBdr>
              <w:spacing w:before="60" w:after="60"/>
              <w:rPr>
                <w:sz w:val="20"/>
                <w:szCs w:val="20"/>
              </w:rPr>
            </w:pPr>
            <w:r>
              <w:rPr>
                <w:sz w:val="20"/>
                <w:szCs w:val="20"/>
              </w:rPr>
              <w:t>Hz</w:t>
            </w:r>
          </w:p>
        </w:tc>
        <w:tc>
          <w:tcPr>
            <w:tcW w:w="7800" w:type="dxa"/>
            <w:tcBorders>
              <w:top w:val="single" w:sz="4" w:space="0" w:color="4E88C7"/>
              <w:left w:val="nil"/>
              <w:bottom w:val="single" w:sz="4" w:space="0" w:color="4E88C7"/>
              <w:right w:val="nil"/>
            </w:tcBorders>
            <w:shd w:val="clear" w:color="auto" w:fill="auto"/>
          </w:tcPr>
          <w:p w14:paraId="3A100507" w14:textId="77777777" w:rsidR="00821405" w:rsidRDefault="00821405" w:rsidP="00DE3760">
            <w:pPr>
              <w:pBdr>
                <w:top w:val="nil"/>
                <w:left w:val="nil"/>
                <w:bottom w:val="nil"/>
                <w:right w:val="nil"/>
                <w:between w:val="nil"/>
              </w:pBdr>
              <w:spacing w:before="60" w:after="60"/>
              <w:rPr>
                <w:sz w:val="20"/>
                <w:szCs w:val="20"/>
              </w:rPr>
            </w:pPr>
            <w:r>
              <w:rPr>
                <w:sz w:val="20"/>
                <w:szCs w:val="20"/>
              </w:rPr>
              <w:t>Hertz</w:t>
            </w:r>
          </w:p>
        </w:tc>
      </w:tr>
      <w:tr w:rsidR="00821405" w14:paraId="3AA8D9FD" w14:textId="77777777" w:rsidTr="00DE3760">
        <w:tc>
          <w:tcPr>
            <w:tcW w:w="1350" w:type="dxa"/>
            <w:tcBorders>
              <w:top w:val="single" w:sz="4" w:space="0" w:color="4E88C7"/>
              <w:bottom w:val="single" w:sz="4" w:space="0" w:color="4E88C7"/>
            </w:tcBorders>
            <w:shd w:val="clear" w:color="auto" w:fill="auto"/>
            <w:tcMar>
              <w:left w:w="0" w:type="dxa"/>
            </w:tcMar>
          </w:tcPr>
          <w:p w14:paraId="226ED4D9" w14:textId="77777777" w:rsidR="00821405" w:rsidRDefault="00821405" w:rsidP="00DE3760">
            <w:pPr>
              <w:pBdr>
                <w:top w:val="nil"/>
                <w:left w:val="nil"/>
                <w:bottom w:val="nil"/>
                <w:right w:val="nil"/>
                <w:between w:val="nil"/>
              </w:pBdr>
              <w:spacing w:before="60" w:after="60"/>
              <w:rPr>
                <w:sz w:val="20"/>
                <w:szCs w:val="20"/>
              </w:rPr>
            </w:pPr>
            <w:r>
              <w:rPr>
                <w:sz w:val="20"/>
                <w:szCs w:val="20"/>
              </w:rPr>
              <w:t>IAF</w:t>
            </w:r>
          </w:p>
        </w:tc>
        <w:tc>
          <w:tcPr>
            <w:tcW w:w="7800" w:type="dxa"/>
            <w:tcBorders>
              <w:top w:val="single" w:sz="4" w:space="0" w:color="4E88C7"/>
              <w:left w:val="nil"/>
              <w:bottom w:val="single" w:sz="4" w:space="0" w:color="4E88C7"/>
              <w:right w:val="nil"/>
            </w:tcBorders>
            <w:shd w:val="clear" w:color="auto" w:fill="auto"/>
          </w:tcPr>
          <w:p w14:paraId="10E84B99" w14:textId="77777777" w:rsidR="00821405" w:rsidRDefault="00821405" w:rsidP="00DE3760">
            <w:pPr>
              <w:pBdr>
                <w:top w:val="nil"/>
                <w:left w:val="nil"/>
                <w:bottom w:val="nil"/>
                <w:right w:val="nil"/>
                <w:between w:val="nil"/>
              </w:pBdr>
              <w:spacing w:before="60" w:after="60"/>
              <w:rPr>
                <w:sz w:val="20"/>
                <w:szCs w:val="20"/>
              </w:rPr>
            </w:pPr>
            <w:r>
              <w:rPr>
                <w:sz w:val="20"/>
                <w:szCs w:val="20"/>
              </w:rPr>
              <w:t>Individual Alpha Frequency</w:t>
            </w:r>
          </w:p>
        </w:tc>
      </w:tr>
      <w:tr w:rsidR="00821405" w14:paraId="3FBCF378" w14:textId="77777777" w:rsidTr="00DE3760">
        <w:tc>
          <w:tcPr>
            <w:tcW w:w="1350" w:type="dxa"/>
            <w:tcBorders>
              <w:top w:val="single" w:sz="4" w:space="0" w:color="4E88C7"/>
              <w:bottom w:val="single" w:sz="4" w:space="0" w:color="4E88C7"/>
            </w:tcBorders>
            <w:shd w:val="clear" w:color="auto" w:fill="auto"/>
            <w:tcMar>
              <w:left w:w="0" w:type="dxa"/>
            </w:tcMar>
          </w:tcPr>
          <w:p w14:paraId="7ABF9B98" w14:textId="77777777" w:rsidR="00821405" w:rsidRDefault="00821405" w:rsidP="00DE3760">
            <w:pPr>
              <w:pBdr>
                <w:top w:val="nil"/>
                <w:left w:val="nil"/>
                <w:bottom w:val="nil"/>
                <w:right w:val="nil"/>
                <w:between w:val="nil"/>
              </w:pBdr>
              <w:spacing w:before="60" w:after="60"/>
              <w:rPr>
                <w:sz w:val="20"/>
                <w:szCs w:val="20"/>
              </w:rPr>
            </w:pPr>
            <w:r>
              <w:rPr>
                <w:sz w:val="20"/>
                <w:szCs w:val="20"/>
              </w:rPr>
              <w:t>K</w:t>
            </w:r>
            <w:r w:rsidRPr="00A9277D">
              <w:rPr>
                <w:sz w:val="20"/>
                <w:szCs w:val="20"/>
              </w:rPr>
              <w:t>Ω</w:t>
            </w:r>
          </w:p>
        </w:tc>
        <w:tc>
          <w:tcPr>
            <w:tcW w:w="7800" w:type="dxa"/>
            <w:tcBorders>
              <w:top w:val="single" w:sz="4" w:space="0" w:color="4E88C7"/>
              <w:left w:val="nil"/>
              <w:bottom w:val="single" w:sz="4" w:space="0" w:color="4E88C7"/>
              <w:right w:val="nil"/>
            </w:tcBorders>
            <w:shd w:val="clear" w:color="auto" w:fill="auto"/>
          </w:tcPr>
          <w:p w14:paraId="23C10A82" w14:textId="77777777" w:rsidR="00821405" w:rsidRDefault="00821405" w:rsidP="00DE3760">
            <w:pPr>
              <w:pBdr>
                <w:top w:val="nil"/>
                <w:left w:val="nil"/>
                <w:bottom w:val="nil"/>
                <w:right w:val="nil"/>
                <w:between w:val="nil"/>
              </w:pBdr>
              <w:spacing w:before="60" w:after="60"/>
              <w:rPr>
                <w:sz w:val="20"/>
                <w:szCs w:val="20"/>
              </w:rPr>
            </w:pPr>
            <w:r>
              <w:rPr>
                <w:sz w:val="20"/>
                <w:szCs w:val="20"/>
              </w:rPr>
              <w:t>Kilo ohm</w:t>
            </w:r>
          </w:p>
        </w:tc>
      </w:tr>
      <w:tr w:rsidR="00821405" w14:paraId="06974D34" w14:textId="77777777" w:rsidTr="00DE3760">
        <w:tc>
          <w:tcPr>
            <w:tcW w:w="1350" w:type="dxa"/>
            <w:tcBorders>
              <w:top w:val="single" w:sz="4" w:space="0" w:color="4E88C7"/>
              <w:bottom w:val="single" w:sz="4" w:space="0" w:color="4E88C7"/>
            </w:tcBorders>
            <w:shd w:val="clear" w:color="auto" w:fill="auto"/>
            <w:tcMar>
              <w:left w:w="0" w:type="dxa"/>
            </w:tcMar>
          </w:tcPr>
          <w:p w14:paraId="4ED51F0E" w14:textId="77777777" w:rsidR="00821405" w:rsidRDefault="00821405" w:rsidP="00DE3760">
            <w:pPr>
              <w:pBdr>
                <w:top w:val="nil"/>
                <w:left w:val="nil"/>
                <w:bottom w:val="nil"/>
                <w:right w:val="nil"/>
                <w:between w:val="nil"/>
              </w:pBdr>
              <w:spacing w:before="60" w:after="60"/>
              <w:rPr>
                <w:sz w:val="20"/>
                <w:szCs w:val="20"/>
              </w:rPr>
            </w:pPr>
            <w:r>
              <w:rPr>
                <w:sz w:val="20"/>
                <w:szCs w:val="20"/>
              </w:rPr>
              <w:t>MWF</w:t>
            </w:r>
          </w:p>
        </w:tc>
        <w:tc>
          <w:tcPr>
            <w:tcW w:w="7800" w:type="dxa"/>
            <w:tcBorders>
              <w:top w:val="single" w:sz="4" w:space="0" w:color="4E88C7"/>
              <w:left w:val="nil"/>
              <w:bottom w:val="single" w:sz="4" w:space="0" w:color="4E88C7"/>
              <w:right w:val="nil"/>
            </w:tcBorders>
            <w:shd w:val="clear" w:color="auto" w:fill="auto"/>
          </w:tcPr>
          <w:p w14:paraId="61153B78" w14:textId="77777777" w:rsidR="00821405" w:rsidRDefault="00821405" w:rsidP="00DE3760">
            <w:pPr>
              <w:pBdr>
                <w:top w:val="nil"/>
                <w:left w:val="nil"/>
                <w:bottom w:val="nil"/>
                <w:right w:val="nil"/>
                <w:between w:val="nil"/>
              </w:pBdr>
              <w:spacing w:before="60" w:after="60"/>
              <w:rPr>
                <w:sz w:val="20"/>
                <w:szCs w:val="20"/>
              </w:rPr>
            </w:pPr>
            <w:r>
              <w:rPr>
                <w:sz w:val="20"/>
                <w:szCs w:val="20"/>
              </w:rPr>
              <w:t>Multi-channel Wiener Filter</w:t>
            </w:r>
          </w:p>
        </w:tc>
      </w:tr>
      <w:tr w:rsidR="00821405" w:rsidRPr="00D77605" w14:paraId="41F5F1A4" w14:textId="77777777" w:rsidTr="00DE3760">
        <w:tc>
          <w:tcPr>
            <w:tcW w:w="1350" w:type="dxa"/>
            <w:tcBorders>
              <w:top w:val="single" w:sz="4" w:space="0" w:color="4E88C7"/>
              <w:bottom w:val="single" w:sz="4" w:space="0" w:color="4E88C7"/>
            </w:tcBorders>
            <w:shd w:val="clear" w:color="auto" w:fill="auto"/>
            <w:tcMar>
              <w:left w:w="0" w:type="dxa"/>
            </w:tcMar>
          </w:tcPr>
          <w:p w14:paraId="757978DD" w14:textId="77777777" w:rsidR="00821405" w:rsidRDefault="00821405" w:rsidP="00DE3760">
            <w:pPr>
              <w:pBdr>
                <w:top w:val="nil"/>
                <w:left w:val="nil"/>
                <w:bottom w:val="nil"/>
                <w:right w:val="nil"/>
                <w:between w:val="nil"/>
              </w:pBdr>
              <w:spacing w:before="60" w:after="60"/>
              <w:rPr>
                <w:sz w:val="20"/>
                <w:szCs w:val="20"/>
              </w:rPr>
            </w:pPr>
            <w:r>
              <w:rPr>
                <w:sz w:val="20"/>
                <w:szCs w:val="20"/>
              </w:rPr>
              <w:t>O</w:t>
            </w:r>
          </w:p>
        </w:tc>
        <w:tc>
          <w:tcPr>
            <w:tcW w:w="7800" w:type="dxa"/>
            <w:tcBorders>
              <w:top w:val="single" w:sz="4" w:space="0" w:color="4E88C7"/>
              <w:left w:val="nil"/>
              <w:bottom w:val="single" w:sz="4" w:space="0" w:color="4E88C7"/>
              <w:right w:val="nil"/>
            </w:tcBorders>
            <w:shd w:val="clear" w:color="auto" w:fill="auto"/>
          </w:tcPr>
          <w:p w14:paraId="501EA03C" w14:textId="77777777" w:rsidR="00821405" w:rsidRPr="004D604A" w:rsidRDefault="00821405" w:rsidP="00DE3760">
            <w:pPr>
              <w:pBdr>
                <w:top w:val="nil"/>
                <w:left w:val="nil"/>
                <w:bottom w:val="nil"/>
                <w:right w:val="nil"/>
                <w:between w:val="nil"/>
              </w:pBdr>
              <w:spacing w:before="60" w:after="60"/>
              <w:rPr>
                <w:sz w:val="20"/>
                <w:szCs w:val="20"/>
                <w:lang w:val="it-IT"/>
              </w:rPr>
            </w:pPr>
            <w:r>
              <w:rPr>
                <w:sz w:val="20"/>
                <w:szCs w:val="20"/>
                <w:lang w:val="it-IT"/>
              </w:rPr>
              <w:t>Occipital</w:t>
            </w:r>
          </w:p>
        </w:tc>
      </w:tr>
      <w:tr w:rsidR="00821405" w14:paraId="00F25991" w14:textId="77777777" w:rsidTr="00DE3760">
        <w:tc>
          <w:tcPr>
            <w:tcW w:w="1350" w:type="dxa"/>
            <w:tcBorders>
              <w:top w:val="single" w:sz="4" w:space="0" w:color="4E88C7"/>
              <w:bottom w:val="single" w:sz="4" w:space="0" w:color="4E88C7"/>
            </w:tcBorders>
            <w:shd w:val="clear" w:color="auto" w:fill="auto"/>
            <w:tcMar>
              <w:left w:w="0" w:type="dxa"/>
            </w:tcMar>
          </w:tcPr>
          <w:p w14:paraId="1344043C" w14:textId="77777777" w:rsidR="00821405" w:rsidRDefault="00821405" w:rsidP="00DE3760">
            <w:pPr>
              <w:pBdr>
                <w:top w:val="nil"/>
                <w:left w:val="nil"/>
                <w:bottom w:val="nil"/>
                <w:right w:val="nil"/>
                <w:between w:val="nil"/>
              </w:pBdr>
              <w:spacing w:before="60" w:after="60"/>
              <w:rPr>
                <w:sz w:val="20"/>
                <w:szCs w:val="20"/>
              </w:rPr>
            </w:pPr>
            <w:r>
              <w:rPr>
                <w:sz w:val="20"/>
                <w:szCs w:val="20"/>
              </w:rPr>
              <w:t>P</w:t>
            </w:r>
          </w:p>
        </w:tc>
        <w:tc>
          <w:tcPr>
            <w:tcW w:w="7800" w:type="dxa"/>
            <w:tcBorders>
              <w:top w:val="single" w:sz="4" w:space="0" w:color="4E88C7"/>
              <w:left w:val="nil"/>
              <w:bottom w:val="single" w:sz="4" w:space="0" w:color="4E88C7"/>
              <w:right w:val="nil"/>
            </w:tcBorders>
            <w:shd w:val="clear" w:color="auto" w:fill="auto"/>
          </w:tcPr>
          <w:p w14:paraId="33633B9A" w14:textId="77777777" w:rsidR="00821405" w:rsidRDefault="00821405" w:rsidP="00DE3760">
            <w:pPr>
              <w:pBdr>
                <w:top w:val="nil"/>
                <w:left w:val="nil"/>
                <w:bottom w:val="nil"/>
                <w:right w:val="nil"/>
                <w:between w:val="nil"/>
              </w:pBdr>
              <w:spacing w:before="60" w:after="60"/>
              <w:rPr>
                <w:sz w:val="20"/>
                <w:szCs w:val="20"/>
              </w:rPr>
            </w:pPr>
            <w:r>
              <w:rPr>
                <w:sz w:val="20"/>
                <w:szCs w:val="20"/>
              </w:rPr>
              <w:t>Parietal</w:t>
            </w:r>
          </w:p>
        </w:tc>
      </w:tr>
      <w:tr w:rsidR="00821405" w14:paraId="0B3FA659" w14:textId="77777777" w:rsidTr="00DE3760">
        <w:tc>
          <w:tcPr>
            <w:tcW w:w="1350" w:type="dxa"/>
            <w:tcBorders>
              <w:top w:val="single" w:sz="4" w:space="0" w:color="4E88C7"/>
              <w:bottom w:val="single" w:sz="4" w:space="0" w:color="4E88C7"/>
            </w:tcBorders>
            <w:shd w:val="clear" w:color="auto" w:fill="auto"/>
            <w:tcMar>
              <w:left w:w="0" w:type="dxa"/>
            </w:tcMar>
          </w:tcPr>
          <w:p w14:paraId="6C62C240" w14:textId="77777777" w:rsidR="00821405" w:rsidRDefault="00821405" w:rsidP="00DE3760">
            <w:pPr>
              <w:pBdr>
                <w:top w:val="nil"/>
                <w:left w:val="nil"/>
                <w:bottom w:val="nil"/>
                <w:right w:val="nil"/>
                <w:between w:val="nil"/>
              </w:pBdr>
              <w:spacing w:before="60" w:after="60"/>
              <w:rPr>
                <w:sz w:val="20"/>
                <w:szCs w:val="20"/>
              </w:rPr>
            </w:pPr>
            <w:r>
              <w:rPr>
                <w:sz w:val="20"/>
                <w:szCs w:val="20"/>
              </w:rPr>
              <w:t>PFC</w:t>
            </w:r>
          </w:p>
        </w:tc>
        <w:tc>
          <w:tcPr>
            <w:tcW w:w="7800" w:type="dxa"/>
            <w:tcBorders>
              <w:top w:val="single" w:sz="4" w:space="0" w:color="4E88C7"/>
              <w:left w:val="nil"/>
              <w:bottom w:val="single" w:sz="4" w:space="0" w:color="4E88C7"/>
              <w:right w:val="nil"/>
            </w:tcBorders>
            <w:shd w:val="clear" w:color="auto" w:fill="auto"/>
          </w:tcPr>
          <w:p w14:paraId="23C30265" w14:textId="77777777" w:rsidR="00821405" w:rsidRDefault="00821405" w:rsidP="00DE3760">
            <w:pPr>
              <w:pBdr>
                <w:top w:val="nil"/>
                <w:left w:val="nil"/>
                <w:bottom w:val="nil"/>
                <w:right w:val="nil"/>
                <w:between w:val="nil"/>
              </w:pBdr>
              <w:spacing w:before="60" w:after="60"/>
              <w:rPr>
                <w:sz w:val="20"/>
                <w:szCs w:val="20"/>
              </w:rPr>
            </w:pPr>
            <w:r>
              <w:rPr>
                <w:sz w:val="20"/>
                <w:szCs w:val="20"/>
              </w:rPr>
              <w:t>Pre-Frontal Cortex</w:t>
            </w:r>
          </w:p>
        </w:tc>
      </w:tr>
      <w:tr w:rsidR="00821405" w14:paraId="5EBA6075" w14:textId="77777777" w:rsidTr="00DE3760">
        <w:tc>
          <w:tcPr>
            <w:tcW w:w="1350" w:type="dxa"/>
            <w:tcBorders>
              <w:top w:val="single" w:sz="4" w:space="0" w:color="4E88C7"/>
              <w:bottom w:val="single" w:sz="4" w:space="0" w:color="4E88C7"/>
            </w:tcBorders>
            <w:shd w:val="clear" w:color="auto" w:fill="auto"/>
            <w:tcMar>
              <w:left w:w="0" w:type="dxa"/>
            </w:tcMar>
          </w:tcPr>
          <w:p w14:paraId="23DD6D04" w14:textId="77777777" w:rsidR="00821405" w:rsidRDefault="00821405" w:rsidP="00DE3760">
            <w:pPr>
              <w:pBdr>
                <w:top w:val="nil"/>
                <w:left w:val="nil"/>
                <w:bottom w:val="nil"/>
                <w:right w:val="nil"/>
                <w:between w:val="nil"/>
              </w:pBdr>
              <w:spacing w:before="60" w:after="60"/>
              <w:rPr>
                <w:sz w:val="20"/>
                <w:szCs w:val="20"/>
              </w:rPr>
            </w:pPr>
            <w:r>
              <w:rPr>
                <w:sz w:val="20"/>
                <w:szCs w:val="20"/>
              </w:rPr>
              <w:t>PPC</w:t>
            </w:r>
          </w:p>
        </w:tc>
        <w:tc>
          <w:tcPr>
            <w:tcW w:w="7800" w:type="dxa"/>
            <w:tcBorders>
              <w:top w:val="single" w:sz="4" w:space="0" w:color="4E88C7"/>
              <w:left w:val="nil"/>
              <w:bottom w:val="single" w:sz="4" w:space="0" w:color="4E88C7"/>
              <w:right w:val="nil"/>
            </w:tcBorders>
            <w:shd w:val="clear" w:color="auto" w:fill="auto"/>
          </w:tcPr>
          <w:p w14:paraId="00ABED47" w14:textId="77777777" w:rsidR="00821405" w:rsidRDefault="00821405" w:rsidP="00DE3760">
            <w:pPr>
              <w:pBdr>
                <w:top w:val="nil"/>
                <w:left w:val="nil"/>
                <w:bottom w:val="nil"/>
                <w:right w:val="nil"/>
                <w:between w:val="nil"/>
              </w:pBdr>
              <w:spacing w:before="60" w:after="60"/>
              <w:rPr>
                <w:sz w:val="20"/>
                <w:szCs w:val="20"/>
              </w:rPr>
            </w:pPr>
            <w:r>
              <w:rPr>
                <w:sz w:val="20"/>
                <w:szCs w:val="20"/>
              </w:rPr>
              <w:t>Posterior Parietal Cortex</w:t>
            </w:r>
          </w:p>
        </w:tc>
      </w:tr>
      <w:tr w:rsidR="00821405" w14:paraId="66380660" w14:textId="77777777" w:rsidTr="00DE3760">
        <w:tc>
          <w:tcPr>
            <w:tcW w:w="1350" w:type="dxa"/>
            <w:tcBorders>
              <w:top w:val="single" w:sz="4" w:space="0" w:color="4E88C7"/>
              <w:bottom w:val="single" w:sz="4" w:space="0" w:color="4E88C7"/>
            </w:tcBorders>
            <w:shd w:val="clear" w:color="auto" w:fill="auto"/>
            <w:tcMar>
              <w:left w:w="0" w:type="dxa"/>
            </w:tcMar>
          </w:tcPr>
          <w:p w14:paraId="2F135407" w14:textId="77777777" w:rsidR="00821405" w:rsidRDefault="00821405" w:rsidP="00DE3760">
            <w:pPr>
              <w:pBdr>
                <w:top w:val="nil"/>
                <w:left w:val="nil"/>
                <w:bottom w:val="nil"/>
                <w:right w:val="nil"/>
                <w:between w:val="nil"/>
              </w:pBdr>
              <w:spacing w:before="60" w:after="60"/>
              <w:rPr>
                <w:sz w:val="20"/>
                <w:szCs w:val="20"/>
              </w:rPr>
            </w:pPr>
            <w:r>
              <w:rPr>
                <w:sz w:val="20"/>
                <w:szCs w:val="20"/>
              </w:rPr>
              <w:t>SCL</w:t>
            </w:r>
          </w:p>
        </w:tc>
        <w:tc>
          <w:tcPr>
            <w:tcW w:w="7800" w:type="dxa"/>
            <w:tcBorders>
              <w:top w:val="single" w:sz="4" w:space="0" w:color="4E88C7"/>
              <w:left w:val="nil"/>
              <w:bottom w:val="single" w:sz="4" w:space="0" w:color="4E88C7"/>
              <w:right w:val="nil"/>
            </w:tcBorders>
            <w:shd w:val="clear" w:color="auto" w:fill="auto"/>
          </w:tcPr>
          <w:p w14:paraId="138B6896" w14:textId="77777777" w:rsidR="00821405" w:rsidRDefault="00821405" w:rsidP="00DE3760">
            <w:pPr>
              <w:pBdr>
                <w:top w:val="nil"/>
                <w:left w:val="nil"/>
                <w:bottom w:val="nil"/>
                <w:right w:val="nil"/>
                <w:between w:val="nil"/>
              </w:pBdr>
              <w:spacing w:before="60" w:after="60"/>
              <w:rPr>
                <w:sz w:val="20"/>
                <w:szCs w:val="20"/>
              </w:rPr>
            </w:pPr>
            <w:r>
              <w:rPr>
                <w:sz w:val="20"/>
                <w:szCs w:val="20"/>
              </w:rPr>
              <w:t>Skin Conductance Level</w:t>
            </w:r>
          </w:p>
        </w:tc>
      </w:tr>
      <w:tr w:rsidR="00821405" w14:paraId="3B1F65DA" w14:textId="77777777" w:rsidTr="00DE3760">
        <w:tc>
          <w:tcPr>
            <w:tcW w:w="1350" w:type="dxa"/>
            <w:tcBorders>
              <w:top w:val="single" w:sz="4" w:space="0" w:color="4E88C7"/>
              <w:bottom w:val="single" w:sz="4" w:space="0" w:color="4E88C7"/>
            </w:tcBorders>
            <w:shd w:val="clear" w:color="auto" w:fill="auto"/>
            <w:tcMar>
              <w:left w:w="0" w:type="dxa"/>
            </w:tcMar>
          </w:tcPr>
          <w:p w14:paraId="0E598072" w14:textId="77777777" w:rsidR="00821405" w:rsidRDefault="00821405" w:rsidP="00DE3760">
            <w:pPr>
              <w:pBdr>
                <w:top w:val="nil"/>
                <w:left w:val="nil"/>
                <w:bottom w:val="nil"/>
                <w:right w:val="nil"/>
                <w:between w:val="nil"/>
              </w:pBdr>
              <w:spacing w:before="60" w:after="60"/>
              <w:rPr>
                <w:sz w:val="20"/>
                <w:szCs w:val="20"/>
              </w:rPr>
            </w:pPr>
            <w:r>
              <w:rPr>
                <w:sz w:val="20"/>
                <w:szCs w:val="20"/>
              </w:rPr>
              <w:t>SCR</w:t>
            </w:r>
          </w:p>
        </w:tc>
        <w:tc>
          <w:tcPr>
            <w:tcW w:w="7800" w:type="dxa"/>
            <w:tcBorders>
              <w:top w:val="single" w:sz="4" w:space="0" w:color="4E88C7"/>
              <w:left w:val="nil"/>
              <w:bottom w:val="single" w:sz="4" w:space="0" w:color="4E88C7"/>
              <w:right w:val="nil"/>
            </w:tcBorders>
            <w:shd w:val="clear" w:color="auto" w:fill="auto"/>
          </w:tcPr>
          <w:p w14:paraId="1AA15AA7" w14:textId="77777777" w:rsidR="00821405" w:rsidRDefault="00821405" w:rsidP="00DE3760">
            <w:pPr>
              <w:pBdr>
                <w:top w:val="nil"/>
                <w:left w:val="nil"/>
                <w:bottom w:val="nil"/>
                <w:right w:val="nil"/>
                <w:between w:val="nil"/>
              </w:pBdr>
              <w:spacing w:before="60" w:after="60"/>
              <w:rPr>
                <w:sz w:val="20"/>
                <w:szCs w:val="20"/>
              </w:rPr>
            </w:pPr>
            <w:r>
              <w:rPr>
                <w:sz w:val="20"/>
                <w:szCs w:val="20"/>
              </w:rPr>
              <w:t>Skin Conductance Response</w:t>
            </w:r>
          </w:p>
        </w:tc>
      </w:tr>
      <w:tr w:rsidR="00821405" w:rsidRPr="00D77605" w14:paraId="53BBEF4A" w14:textId="77777777" w:rsidTr="00DE3760">
        <w:tc>
          <w:tcPr>
            <w:tcW w:w="1350" w:type="dxa"/>
            <w:tcBorders>
              <w:top w:val="single" w:sz="4" w:space="0" w:color="4E88C7"/>
              <w:bottom w:val="single" w:sz="4" w:space="0" w:color="4E88C7"/>
            </w:tcBorders>
            <w:shd w:val="clear" w:color="auto" w:fill="auto"/>
            <w:tcMar>
              <w:left w:w="0" w:type="dxa"/>
            </w:tcMar>
          </w:tcPr>
          <w:p w14:paraId="3E9323FA" w14:textId="77777777" w:rsidR="00821405" w:rsidRDefault="00821405" w:rsidP="00DE3760">
            <w:pPr>
              <w:pBdr>
                <w:top w:val="nil"/>
                <w:left w:val="nil"/>
                <w:bottom w:val="nil"/>
                <w:right w:val="nil"/>
                <w:between w:val="nil"/>
              </w:pBdr>
              <w:spacing w:before="60" w:after="60"/>
              <w:rPr>
                <w:sz w:val="20"/>
                <w:szCs w:val="20"/>
              </w:rPr>
            </w:pPr>
            <w:r>
              <w:rPr>
                <w:sz w:val="20"/>
                <w:szCs w:val="20"/>
              </w:rPr>
              <w:t>SNS</w:t>
            </w:r>
          </w:p>
        </w:tc>
        <w:tc>
          <w:tcPr>
            <w:tcW w:w="7800" w:type="dxa"/>
            <w:tcBorders>
              <w:top w:val="single" w:sz="4" w:space="0" w:color="4E88C7"/>
              <w:left w:val="nil"/>
              <w:bottom w:val="single" w:sz="4" w:space="0" w:color="4E88C7"/>
              <w:right w:val="nil"/>
            </w:tcBorders>
            <w:shd w:val="clear" w:color="auto" w:fill="auto"/>
          </w:tcPr>
          <w:p w14:paraId="2DD8081C" w14:textId="77777777" w:rsidR="00821405" w:rsidRPr="004D604A" w:rsidRDefault="00821405" w:rsidP="00DE3760">
            <w:pPr>
              <w:pBdr>
                <w:top w:val="nil"/>
                <w:left w:val="nil"/>
                <w:bottom w:val="nil"/>
                <w:right w:val="nil"/>
                <w:between w:val="nil"/>
              </w:pBdr>
              <w:spacing w:before="60" w:after="60"/>
              <w:rPr>
                <w:sz w:val="20"/>
                <w:szCs w:val="20"/>
                <w:lang w:val="it-IT"/>
              </w:rPr>
            </w:pPr>
            <w:r>
              <w:rPr>
                <w:sz w:val="20"/>
                <w:szCs w:val="20"/>
                <w:lang w:val="it-IT"/>
              </w:rPr>
              <w:t>Sympathetic Nervous System</w:t>
            </w:r>
          </w:p>
        </w:tc>
      </w:tr>
      <w:tr w:rsidR="00821405" w14:paraId="422C9B09" w14:textId="77777777" w:rsidTr="00DE3760">
        <w:tc>
          <w:tcPr>
            <w:tcW w:w="1350" w:type="dxa"/>
            <w:tcBorders>
              <w:top w:val="single" w:sz="4" w:space="0" w:color="4E88C7"/>
              <w:bottom w:val="single" w:sz="4" w:space="0" w:color="4E88C7"/>
            </w:tcBorders>
            <w:shd w:val="clear" w:color="auto" w:fill="auto"/>
            <w:tcMar>
              <w:left w:w="0" w:type="dxa"/>
            </w:tcMar>
          </w:tcPr>
          <w:p w14:paraId="6BD7D0E8" w14:textId="77777777" w:rsidR="00821405" w:rsidRDefault="00821405" w:rsidP="00DE3760">
            <w:pPr>
              <w:pBdr>
                <w:top w:val="nil"/>
                <w:left w:val="nil"/>
                <w:bottom w:val="nil"/>
                <w:right w:val="nil"/>
                <w:between w:val="nil"/>
              </w:pBdr>
              <w:spacing w:before="60" w:after="60"/>
              <w:rPr>
                <w:sz w:val="20"/>
                <w:szCs w:val="20"/>
              </w:rPr>
            </w:pPr>
            <w:r>
              <w:rPr>
                <w:sz w:val="20"/>
                <w:szCs w:val="20"/>
              </w:rPr>
              <w:t>VR</w:t>
            </w:r>
          </w:p>
        </w:tc>
        <w:tc>
          <w:tcPr>
            <w:tcW w:w="7800" w:type="dxa"/>
            <w:tcBorders>
              <w:top w:val="single" w:sz="4" w:space="0" w:color="4E88C7"/>
              <w:left w:val="nil"/>
              <w:bottom w:val="single" w:sz="4" w:space="0" w:color="4E88C7"/>
              <w:right w:val="nil"/>
            </w:tcBorders>
            <w:shd w:val="clear" w:color="auto" w:fill="auto"/>
          </w:tcPr>
          <w:p w14:paraId="51764B1E" w14:textId="77777777" w:rsidR="00821405" w:rsidRDefault="00821405" w:rsidP="00DE3760">
            <w:pPr>
              <w:pBdr>
                <w:top w:val="nil"/>
                <w:left w:val="nil"/>
                <w:bottom w:val="nil"/>
                <w:right w:val="nil"/>
                <w:between w:val="nil"/>
              </w:pBdr>
              <w:spacing w:before="60" w:after="60"/>
              <w:rPr>
                <w:sz w:val="20"/>
                <w:szCs w:val="20"/>
              </w:rPr>
            </w:pPr>
            <w:r>
              <w:rPr>
                <w:sz w:val="20"/>
                <w:szCs w:val="20"/>
              </w:rPr>
              <w:t>Virtual Reality</w:t>
            </w:r>
          </w:p>
        </w:tc>
      </w:tr>
      <w:tr w:rsidR="00821405" w14:paraId="757CA336" w14:textId="77777777" w:rsidTr="00DE3760">
        <w:tc>
          <w:tcPr>
            <w:tcW w:w="1350" w:type="dxa"/>
            <w:tcBorders>
              <w:top w:val="single" w:sz="4" w:space="0" w:color="4E88C7"/>
              <w:bottom w:val="single" w:sz="4" w:space="0" w:color="4E88C7"/>
            </w:tcBorders>
            <w:shd w:val="clear" w:color="auto" w:fill="auto"/>
            <w:tcMar>
              <w:left w:w="0" w:type="dxa"/>
            </w:tcMar>
          </w:tcPr>
          <w:p w14:paraId="444479A4" w14:textId="77777777" w:rsidR="00821405" w:rsidRPr="00A9277D" w:rsidRDefault="00821405" w:rsidP="00DE3760">
            <w:pPr>
              <w:pBdr>
                <w:top w:val="nil"/>
                <w:left w:val="nil"/>
                <w:bottom w:val="nil"/>
                <w:right w:val="nil"/>
                <w:between w:val="nil"/>
              </w:pBdr>
              <w:spacing w:before="60" w:after="60"/>
              <w:rPr>
                <w:sz w:val="20"/>
                <w:szCs w:val="20"/>
              </w:rPr>
            </w:pPr>
            <w:r>
              <w:rPr>
                <w:sz w:val="20"/>
                <w:szCs w:val="20"/>
              </w:rPr>
              <w:t>WL</w:t>
            </w:r>
          </w:p>
        </w:tc>
        <w:tc>
          <w:tcPr>
            <w:tcW w:w="7800" w:type="dxa"/>
            <w:tcBorders>
              <w:top w:val="single" w:sz="4" w:space="0" w:color="4E88C7"/>
              <w:left w:val="nil"/>
              <w:bottom w:val="single" w:sz="4" w:space="0" w:color="4E88C7"/>
              <w:right w:val="nil"/>
            </w:tcBorders>
            <w:shd w:val="clear" w:color="auto" w:fill="auto"/>
          </w:tcPr>
          <w:p w14:paraId="11FB6C76" w14:textId="77777777" w:rsidR="00821405" w:rsidRDefault="00821405" w:rsidP="00DE3760">
            <w:pPr>
              <w:pBdr>
                <w:top w:val="nil"/>
                <w:left w:val="nil"/>
                <w:bottom w:val="nil"/>
                <w:right w:val="nil"/>
                <w:between w:val="nil"/>
              </w:pBdr>
              <w:spacing w:before="60" w:after="60"/>
              <w:rPr>
                <w:sz w:val="20"/>
                <w:szCs w:val="20"/>
              </w:rPr>
            </w:pPr>
            <w:r>
              <w:rPr>
                <w:sz w:val="20"/>
                <w:szCs w:val="20"/>
              </w:rPr>
              <w:t>Workload Neurometric</w:t>
            </w:r>
          </w:p>
        </w:tc>
      </w:tr>
      <w:tr w:rsidR="00821405" w14:paraId="763C505E" w14:textId="77777777" w:rsidTr="00DE3760">
        <w:tc>
          <w:tcPr>
            <w:tcW w:w="1350" w:type="dxa"/>
            <w:tcBorders>
              <w:top w:val="single" w:sz="4" w:space="0" w:color="4E88C7"/>
              <w:bottom w:val="single" w:sz="4" w:space="0" w:color="4E88C7"/>
            </w:tcBorders>
            <w:shd w:val="clear" w:color="auto" w:fill="auto"/>
            <w:tcMar>
              <w:left w:w="0" w:type="dxa"/>
            </w:tcMar>
          </w:tcPr>
          <w:p w14:paraId="498E3F3C" w14:textId="77777777" w:rsidR="00821405" w:rsidRDefault="00821405" w:rsidP="00DE3760">
            <w:pPr>
              <w:pBdr>
                <w:top w:val="nil"/>
                <w:left w:val="nil"/>
                <w:bottom w:val="nil"/>
                <w:right w:val="nil"/>
                <w:between w:val="nil"/>
              </w:pBdr>
              <w:spacing w:before="60" w:after="60"/>
              <w:rPr>
                <w:sz w:val="20"/>
                <w:szCs w:val="20"/>
              </w:rPr>
            </w:pPr>
            <w:r>
              <w:rPr>
                <w:sz w:val="20"/>
                <w:szCs w:val="20"/>
              </w:rPr>
              <w:t>XAI</w:t>
            </w:r>
          </w:p>
        </w:tc>
        <w:tc>
          <w:tcPr>
            <w:tcW w:w="7800" w:type="dxa"/>
            <w:tcBorders>
              <w:top w:val="single" w:sz="4" w:space="0" w:color="4E88C7"/>
              <w:bottom w:val="single" w:sz="4" w:space="0" w:color="4E88C7"/>
            </w:tcBorders>
            <w:shd w:val="clear" w:color="auto" w:fill="auto"/>
          </w:tcPr>
          <w:p w14:paraId="711CBAEF" w14:textId="77777777" w:rsidR="00821405" w:rsidRDefault="00821405" w:rsidP="00DE3760">
            <w:pPr>
              <w:pBdr>
                <w:top w:val="nil"/>
                <w:left w:val="nil"/>
                <w:bottom w:val="nil"/>
                <w:right w:val="nil"/>
                <w:between w:val="nil"/>
              </w:pBdr>
              <w:spacing w:before="60" w:after="60"/>
              <w:rPr>
                <w:sz w:val="20"/>
                <w:szCs w:val="20"/>
              </w:rPr>
            </w:pPr>
            <w:r>
              <w:rPr>
                <w:sz w:val="20"/>
                <w:szCs w:val="20"/>
              </w:rPr>
              <w:t>eXplainable Artificial Intelligence</w:t>
            </w:r>
          </w:p>
        </w:tc>
      </w:tr>
      <w:tr w:rsidR="00821405" w14:paraId="6CD353E6" w14:textId="77777777" w:rsidTr="00DE3760">
        <w:tc>
          <w:tcPr>
            <w:tcW w:w="1350" w:type="dxa"/>
            <w:tcBorders>
              <w:top w:val="single" w:sz="4" w:space="0" w:color="4E88C7"/>
              <w:bottom w:val="single" w:sz="4" w:space="0" w:color="4E88C7"/>
            </w:tcBorders>
            <w:shd w:val="clear" w:color="auto" w:fill="auto"/>
            <w:tcMar>
              <w:left w:w="0" w:type="dxa"/>
            </w:tcMar>
          </w:tcPr>
          <w:p w14:paraId="02E41592" w14:textId="77777777" w:rsidR="00821405" w:rsidRDefault="00821405" w:rsidP="00DE3760">
            <w:pPr>
              <w:pBdr>
                <w:top w:val="nil"/>
                <w:left w:val="nil"/>
                <w:bottom w:val="nil"/>
                <w:right w:val="nil"/>
                <w:between w:val="nil"/>
              </w:pBdr>
              <w:spacing w:before="60" w:after="60"/>
              <w:rPr>
                <w:sz w:val="20"/>
                <w:szCs w:val="20"/>
              </w:rPr>
            </w:pPr>
            <w:r w:rsidRPr="00A9277D">
              <w:rPr>
                <w:sz w:val="20"/>
                <w:szCs w:val="20"/>
              </w:rPr>
              <w:t>μV</w:t>
            </w:r>
          </w:p>
        </w:tc>
        <w:tc>
          <w:tcPr>
            <w:tcW w:w="7800" w:type="dxa"/>
            <w:tcBorders>
              <w:top w:val="single" w:sz="4" w:space="0" w:color="4E88C7"/>
              <w:left w:val="nil"/>
              <w:bottom w:val="single" w:sz="4" w:space="0" w:color="4E88C7"/>
              <w:right w:val="nil"/>
            </w:tcBorders>
            <w:shd w:val="clear" w:color="auto" w:fill="auto"/>
          </w:tcPr>
          <w:p w14:paraId="031C396A" w14:textId="77777777" w:rsidR="00821405" w:rsidRDefault="00821405" w:rsidP="00DE3760">
            <w:pPr>
              <w:pBdr>
                <w:top w:val="nil"/>
                <w:left w:val="nil"/>
                <w:bottom w:val="nil"/>
                <w:right w:val="nil"/>
                <w:between w:val="nil"/>
              </w:pBdr>
              <w:spacing w:before="60" w:after="60"/>
              <w:rPr>
                <w:sz w:val="20"/>
                <w:szCs w:val="20"/>
              </w:rPr>
            </w:pPr>
            <w:r>
              <w:rPr>
                <w:sz w:val="20"/>
                <w:szCs w:val="20"/>
              </w:rPr>
              <w:t>Micro-Volt</w:t>
            </w:r>
          </w:p>
        </w:tc>
      </w:tr>
    </w:tbl>
    <w:p w14:paraId="6B1A020D" w14:textId="77777777" w:rsidR="00821405" w:rsidRDefault="00821405" w:rsidP="00B7435F">
      <w:pPr>
        <w:rPr>
          <w:b/>
          <w:bCs/>
          <w:i/>
          <w:iCs/>
          <w:sz w:val="24"/>
          <w:szCs w:val="24"/>
        </w:rPr>
      </w:pPr>
    </w:p>
    <w:p w14:paraId="7DC22601" w14:textId="77777777" w:rsidR="00B274CA" w:rsidRDefault="00B274CA" w:rsidP="00B274CA">
      <w:pPr>
        <w:pStyle w:val="BodyText"/>
      </w:pPr>
    </w:p>
    <w:p w14:paraId="6CDFFC7A" w14:textId="77777777" w:rsidR="00821405" w:rsidRDefault="00821405" w:rsidP="00821405">
      <w:pPr>
        <w:pStyle w:val="Heading1"/>
        <w:numPr>
          <w:ilvl w:val="0"/>
          <w:numId w:val="20"/>
        </w:numPr>
        <w:ind w:left="431" w:hanging="431"/>
        <w:jc w:val="both"/>
        <w:rPr>
          <w:rFonts w:asciiTheme="minorHAnsi" w:hAnsiTheme="minorHAnsi" w:cstheme="minorHAnsi"/>
        </w:rPr>
      </w:pPr>
      <w:bookmarkStart w:id="8" w:name="_Toc99543105"/>
      <w:bookmarkStart w:id="9" w:name="_Toc103332730"/>
      <w:bookmarkEnd w:id="2"/>
      <w:bookmarkEnd w:id="3"/>
      <w:bookmarkEnd w:id="4"/>
      <w:bookmarkEnd w:id="5"/>
      <w:bookmarkEnd w:id="6"/>
      <w:bookmarkEnd w:id="7"/>
      <w:r>
        <w:rPr>
          <w:rFonts w:asciiTheme="minorHAnsi" w:hAnsiTheme="minorHAnsi" w:cstheme="minorHAnsi"/>
        </w:rPr>
        <w:lastRenderedPageBreak/>
        <w:t>N</w:t>
      </w:r>
      <w:r w:rsidRPr="00BA1F01">
        <w:rPr>
          <w:rFonts w:asciiTheme="minorHAnsi" w:hAnsiTheme="minorHAnsi" w:cstheme="minorHAnsi"/>
        </w:rPr>
        <w:t xml:space="preserve">europhysiological </w:t>
      </w:r>
      <w:r>
        <w:rPr>
          <w:rFonts w:asciiTheme="minorHAnsi" w:hAnsiTheme="minorHAnsi" w:cstheme="minorHAnsi"/>
        </w:rPr>
        <w:t>measures</w:t>
      </w:r>
      <w:bookmarkEnd w:id="8"/>
      <w:bookmarkEnd w:id="9"/>
    </w:p>
    <w:p w14:paraId="67E5D066" w14:textId="77777777" w:rsidR="00821405" w:rsidRDefault="00821405" w:rsidP="00821405">
      <w:pPr>
        <w:pStyle w:val="BodyText"/>
      </w:pPr>
      <w:r w:rsidRPr="037637E9">
        <w:t xml:space="preserve">The following paragraph will describe from the theoretical point of view the neurophysiological measures related to mental and emotional states of interest for the purpose of the ARTIMATION project experimental validation. These neurophysiological measures will be employed to compare different XAI modalities in terms of effectiveness (i.e., Workload and Stress) and acceptability, </w:t>
      </w:r>
      <w:r>
        <w:t xml:space="preserve">or in other words the predisposition to use a specific modality or not (i.e., Approach Withdrawal). </w:t>
      </w:r>
    </w:p>
    <w:p w14:paraId="7678D176" w14:textId="3F2B13CB" w:rsidR="00821405" w:rsidRDefault="00821405" w:rsidP="00821405">
      <w:pPr>
        <w:pStyle w:val="BodyText"/>
      </w:pPr>
      <w:r w:rsidRPr="037637E9">
        <w:t xml:space="preserve">Moreover, it will provide information regarding the signal processing necessary to obtain these measures from the collected bio signals (i.e., </w:t>
      </w:r>
      <w:r>
        <w:t>E</w:t>
      </w:r>
      <w:r w:rsidRPr="037637E9">
        <w:t xml:space="preserve">lectroencelography – EEG, Galvanic Skin Response – GSR). </w:t>
      </w:r>
      <w:r>
        <w:t>S</w:t>
      </w:r>
      <w:r w:rsidRPr="037637E9">
        <w:t xml:space="preserve">ome theoretical </w:t>
      </w:r>
      <w:r w:rsidR="00095DBD" w:rsidRPr="037637E9">
        <w:t>bases</w:t>
      </w:r>
      <w:r w:rsidRPr="037637E9">
        <w:t xml:space="preserve"> on EEG and GSR signals and related features that could be extracted from it will be</w:t>
      </w:r>
      <w:r>
        <w:t xml:space="preserve"> also</w:t>
      </w:r>
      <w:r w:rsidRPr="037637E9">
        <w:t xml:space="preserve"> provided.</w:t>
      </w:r>
      <w:r>
        <w:t xml:space="preserve"> First it will be defined how the consortium intends to use the neurophysiological measures to validate the project objectives.</w:t>
      </w:r>
      <w:r w:rsidRPr="037637E9">
        <w:t xml:space="preserve"> </w:t>
      </w:r>
    </w:p>
    <w:p w14:paraId="1408981A" w14:textId="77777777" w:rsidR="00821405" w:rsidRDefault="00821405" w:rsidP="00821405">
      <w:pPr>
        <w:pStyle w:val="Heading2"/>
        <w:numPr>
          <w:ilvl w:val="1"/>
          <w:numId w:val="20"/>
        </w:numPr>
      </w:pPr>
      <w:bookmarkStart w:id="10" w:name="_Toc99543106"/>
      <w:bookmarkStart w:id="11" w:name="_Hlk99529563"/>
      <w:bookmarkStart w:id="12" w:name="_Toc103332731"/>
      <w:r>
        <w:t>Neurophysiological measures in relation with project objectives</w:t>
      </w:r>
      <w:bookmarkEnd w:id="10"/>
      <w:bookmarkEnd w:id="12"/>
    </w:p>
    <w:bookmarkEnd w:id="11"/>
    <w:p w14:paraId="28BFD737" w14:textId="77777777" w:rsidR="00821405" w:rsidRDefault="00821405" w:rsidP="00821405">
      <w:pPr>
        <w:pStyle w:val="BodyText"/>
      </w:pPr>
      <w:r w:rsidRPr="00A1120B">
        <w:t xml:space="preserve">Neurophysiological measures evaluation will be used during the experiments regarding the </w:t>
      </w:r>
      <w:r w:rsidRPr="00A1120B">
        <w:rPr>
          <w:b/>
          <w:bCs/>
        </w:rPr>
        <w:t>Conflict Resolution</w:t>
      </w:r>
      <w:r w:rsidRPr="00A1120B">
        <w:t xml:space="preserve"> tool, to provide a comprehensive assessment of the different solutions tested during the experimental phases.</w:t>
      </w:r>
      <w:r>
        <w:t xml:space="preserve"> </w:t>
      </w:r>
    </w:p>
    <w:p w14:paraId="62B0348B" w14:textId="77777777" w:rsidR="00821405" w:rsidRDefault="00821405" w:rsidP="00821405">
      <w:r w:rsidRPr="009E76DC">
        <w:t xml:space="preserve">Below, Table 1 </w:t>
      </w:r>
      <w:r>
        <w:t>shows</w:t>
      </w:r>
      <w:r w:rsidRPr="009E76DC">
        <w:t xml:space="preserve"> the conflict resolution objectives</w:t>
      </w:r>
      <w:r>
        <w:t>, reported also in the Deliverable 6.1</w:t>
      </w:r>
      <w:r w:rsidRPr="009E76DC">
        <w:t>.</w:t>
      </w:r>
    </w:p>
    <w:p w14:paraId="1CDC90FD" w14:textId="77777777" w:rsidR="00821405" w:rsidRPr="009E76DC" w:rsidRDefault="00821405" w:rsidP="00821405"/>
    <w:p w14:paraId="54B3013E" w14:textId="77777777" w:rsidR="00821405" w:rsidRDefault="00821405" w:rsidP="00821405">
      <w:pPr>
        <w:pStyle w:val="Caption"/>
      </w:pPr>
      <w:bookmarkStart w:id="13" w:name="_Toc99532449"/>
      <w:bookmarkStart w:id="14" w:name="_Toc103332746"/>
      <w:r w:rsidRPr="009E76DC">
        <w:t xml:space="preserve">Table </w:t>
      </w:r>
      <w:r>
        <w:fldChar w:fldCharType="begin"/>
      </w:r>
      <w:r>
        <w:instrText xml:space="preserve"> SEQ Table \* ARABIC </w:instrText>
      </w:r>
      <w:r>
        <w:fldChar w:fldCharType="separate"/>
      </w:r>
      <w:r w:rsidRPr="009E76DC">
        <w:rPr>
          <w:noProof/>
        </w:rPr>
        <w:t>1</w:t>
      </w:r>
      <w:r>
        <w:rPr>
          <w:noProof/>
        </w:rPr>
        <w:fldChar w:fldCharType="end"/>
      </w:r>
      <w:r w:rsidRPr="009E76DC">
        <w:t xml:space="preserve">. List of objectives </w:t>
      </w:r>
      <w:r>
        <w:t xml:space="preserve">and success criteria </w:t>
      </w:r>
      <w:r w:rsidRPr="009E76DC">
        <w:t>for conflict resolution</w:t>
      </w:r>
      <w:bookmarkEnd w:id="13"/>
      <w:bookmarkEnd w:id="14"/>
    </w:p>
    <w:tbl>
      <w:tblPr>
        <w:tblStyle w:val="TableGrid"/>
        <w:tblW w:w="9045" w:type="dxa"/>
        <w:tblLook w:val="06A0" w:firstRow="1" w:lastRow="0" w:firstColumn="1" w:lastColumn="0" w:noHBand="1" w:noVBand="1"/>
      </w:tblPr>
      <w:tblGrid>
        <w:gridCol w:w="1810"/>
        <w:gridCol w:w="1408"/>
        <w:gridCol w:w="2287"/>
        <w:gridCol w:w="1835"/>
        <w:gridCol w:w="1705"/>
      </w:tblGrid>
      <w:tr w:rsidR="00821405" w:rsidRPr="00EE41B7" w14:paraId="79B4EFFD" w14:textId="77777777" w:rsidTr="00DE3760">
        <w:tc>
          <w:tcPr>
            <w:tcW w:w="1860" w:type="dxa"/>
            <w:shd w:val="clear" w:color="auto" w:fill="4F81BD" w:themeFill="accent1"/>
          </w:tcPr>
          <w:p w14:paraId="72437E5D" w14:textId="77777777" w:rsidR="00821405" w:rsidRPr="00EE41B7" w:rsidRDefault="00821405" w:rsidP="00DE3760">
            <w:pPr>
              <w:pStyle w:val="BodyText"/>
              <w:rPr>
                <w:b/>
                <w:bCs/>
              </w:rPr>
            </w:pPr>
            <w:r w:rsidRPr="00EE41B7">
              <w:rPr>
                <w:b/>
                <w:bCs/>
              </w:rPr>
              <w:t>ID</w:t>
            </w:r>
          </w:p>
        </w:tc>
        <w:tc>
          <w:tcPr>
            <w:tcW w:w="1408" w:type="dxa"/>
            <w:shd w:val="clear" w:color="auto" w:fill="4F81BD" w:themeFill="accent1"/>
          </w:tcPr>
          <w:p w14:paraId="2253A3A2" w14:textId="77777777" w:rsidR="00821405" w:rsidRPr="00EE41B7" w:rsidRDefault="00821405" w:rsidP="00DE3760">
            <w:pPr>
              <w:pStyle w:val="BodyText"/>
              <w:rPr>
                <w:b/>
                <w:bCs/>
              </w:rPr>
            </w:pPr>
            <w:r w:rsidRPr="00EE41B7">
              <w:rPr>
                <w:b/>
                <w:bCs/>
              </w:rPr>
              <w:t>Objective</w:t>
            </w:r>
          </w:p>
        </w:tc>
        <w:tc>
          <w:tcPr>
            <w:tcW w:w="2348" w:type="dxa"/>
            <w:shd w:val="clear" w:color="auto" w:fill="4F81BD" w:themeFill="accent1"/>
          </w:tcPr>
          <w:p w14:paraId="7DB93C6A" w14:textId="77777777" w:rsidR="00821405" w:rsidRPr="00EE41B7" w:rsidRDefault="00821405" w:rsidP="00DE3760">
            <w:pPr>
              <w:pStyle w:val="BodyText"/>
              <w:rPr>
                <w:b/>
                <w:bCs/>
              </w:rPr>
            </w:pPr>
            <w:r w:rsidRPr="00EE41B7">
              <w:rPr>
                <w:b/>
                <w:bCs/>
              </w:rPr>
              <w:t>Sub Objective</w:t>
            </w:r>
          </w:p>
        </w:tc>
        <w:tc>
          <w:tcPr>
            <w:tcW w:w="1862" w:type="dxa"/>
            <w:shd w:val="clear" w:color="auto" w:fill="4F81BD" w:themeFill="accent1"/>
          </w:tcPr>
          <w:p w14:paraId="464FA20C" w14:textId="77777777" w:rsidR="00821405" w:rsidRPr="00EE41B7" w:rsidRDefault="00821405" w:rsidP="00DE3760">
            <w:pPr>
              <w:pStyle w:val="BodyText"/>
              <w:rPr>
                <w:b/>
                <w:bCs/>
              </w:rPr>
            </w:pPr>
            <w:r w:rsidRPr="00EE41B7">
              <w:rPr>
                <w:b/>
                <w:bCs/>
              </w:rPr>
              <w:t>Methods</w:t>
            </w:r>
          </w:p>
        </w:tc>
        <w:tc>
          <w:tcPr>
            <w:tcW w:w="1567" w:type="dxa"/>
            <w:shd w:val="clear" w:color="auto" w:fill="4F81BD" w:themeFill="accent1"/>
          </w:tcPr>
          <w:p w14:paraId="780883CB" w14:textId="77777777" w:rsidR="00821405" w:rsidRPr="00EE41B7" w:rsidRDefault="00821405" w:rsidP="00DE3760">
            <w:pPr>
              <w:pStyle w:val="BodyText"/>
              <w:rPr>
                <w:b/>
                <w:bCs/>
              </w:rPr>
            </w:pPr>
            <w:r w:rsidRPr="00EE41B7">
              <w:rPr>
                <w:b/>
                <w:bCs/>
              </w:rPr>
              <w:t>Success criteria</w:t>
            </w:r>
          </w:p>
        </w:tc>
      </w:tr>
      <w:tr w:rsidR="00821405" w:rsidRPr="00EE41B7" w14:paraId="1D9D0BDD" w14:textId="77777777" w:rsidTr="00DE3760">
        <w:tc>
          <w:tcPr>
            <w:tcW w:w="1860" w:type="dxa"/>
            <w:vMerge w:val="restart"/>
            <w:vAlign w:val="center"/>
          </w:tcPr>
          <w:p w14:paraId="2D67B6D2" w14:textId="77777777" w:rsidR="00821405" w:rsidRPr="00EE41B7" w:rsidRDefault="00821405" w:rsidP="00DE3760">
            <w:pPr>
              <w:pStyle w:val="BodyText"/>
            </w:pPr>
            <w:r w:rsidRPr="00EE41B7">
              <w:t>VO_CDR_1</w:t>
            </w:r>
          </w:p>
        </w:tc>
        <w:tc>
          <w:tcPr>
            <w:tcW w:w="1408" w:type="dxa"/>
            <w:vMerge w:val="restart"/>
            <w:vAlign w:val="center"/>
          </w:tcPr>
          <w:p w14:paraId="7EDD5E24" w14:textId="77777777" w:rsidR="00821405" w:rsidRPr="00EE41B7" w:rsidRDefault="00821405" w:rsidP="00DE3760">
            <w:pPr>
              <w:pStyle w:val="BodyText"/>
            </w:pPr>
            <w:r w:rsidRPr="00EE41B7">
              <w:t xml:space="preserve">Assess the impact of different levels of transparency and different types of visualisations on </w:t>
            </w:r>
            <w:r w:rsidRPr="00EE41B7">
              <w:rPr>
                <w:b/>
                <w:bCs/>
              </w:rPr>
              <w:t xml:space="preserve">acceptance </w:t>
            </w:r>
          </w:p>
        </w:tc>
        <w:tc>
          <w:tcPr>
            <w:tcW w:w="2348" w:type="dxa"/>
            <w:vAlign w:val="center"/>
          </w:tcPr>
          <w:p w14:paraId="0D7192B4" w14:textId="77777777" w:rsidR="00821405" w:rsidRPr="00EE41B7" w:rsidRDefault="00821405" w:rsidP="00DE3760">
            <w:pPr>
              <w:pStyle w:val="BodyText"/>
            </w:pPr>
            <w:r w:rsidRPr="00EE41B7">
              <w:t>Level of understanding</w:t>
            </w:r>
          </w:p>
        </w:tc>
        <w:tc>
          <w:tcPr>
            <w:tcW w:w="1862" w:type="dxa"/>
            <w:vAlign w:val="center"/>
          </w:tcPr>
          <w:p w14:paraId="5915AE2C" w14:textId="77777777" w:rsidR="00821405" w:rsidRPr="00EE41B7" w:rsidRDefault="00821405" w:rsidP="00DE3760">
            <w:pPr>
              <w:pStyle w:val="BodyText"/>
            </w:pPr>
            <w:r w:rsidRPr="00EE41B7">
              <w:t>Questionnaire</w:t>
            </w:r>
          </w:p>
        </w:tc>
        <w:tc>
          <w:tcPr>
            <w:tcW w:w="1567" w:type="dxa"/>
            <w:vAlign w:val="center"/>
          </w:tcPr>
          <w:p w14:paraId="2FC7C353" w14:textId="77777777" w:rsidR="00821405" w:rsidRPr="00EE41B7" w:rsidRDefault="00821405" w:rsidP="00DE3760">
            <w:pPr>
              <w:pStyle w:val="BodyText"/>
            </w:pPr>
            <w:r w:rsidRPr="00EE41B7">
              <w:t>Positive controllers’ feedback</w:t>
            </w:r>
          </w:p>
        </w:tc>
      </w:tr>
      <w:tr w:rsidR="00821405" w:rsidRPr="00EE41B7" w14:paraId="3213F57F" w14:textId="77777777" w:rsidTr="00DE3760">
        <w:trPr>
          <w:trHeight w:val="510"/>
        </w:trPr>
        <w:tc>
          <w:tcPr>
            <w:tcW w:w="1860" w:type="dxa"/>
            <w:vMerge/>
          </w:tcPr>
          <w:p w14:paraId="2CDCE66B" w14:textId="77777777" w:rsidR="00821405" w:rsidRPr="00EE41B7" w:rsidRDefault="00821405" w:rsidP="00DE3760">
            <w:pPr>
              <w:pStyle w:val="BodyText"/>
            </w:pPr>
          </w:p>
        </w:tc>
        <w:tc>
          <w:tcPr>
            <w:tcW w:w="1408" w:type="dxa"/>
            <w:vMerge/>
          </w:tcPr>
          <w:p w14:paraId="31805523" w14:textId="77777777" w:rsidR="00821405" w:rsidRPr="00EE41B7" w:rsidRDefault="00821405" w:rsidP="00DE3760">
            <w:pPr>
              <w:pStyle w:val="BodyText"/>
            </w:pPr>
          </w:p>
        </w:tc>
        <w:tc>
          <w:tcPr>
            <w:tcW w:w="2348" w:type="dxa"/>
            <w:vAlign w:val="center"/>
          </w:tcPr>
          <w:p w14:paraId="234EF762" w14:textId="77777777" w:rsidR="00821405" w:rsidRPr="00EE41B7" w:rsidRDefault="00821405" w:rsidP="00DE3760">
            <w:pPr>
              <w:pStyle w:val="BodyText"/>
            </w:pPr>
            <w:r w:rsidRPr="00EE41B7">
              <w:t>Level of agreement</w:t>
            </w:r>
          </w:p>
        </w:tc>
        <w:tc>
          <w:tcPr>
            <w:tcW w:w="1862" w:type="dxa"/>
            <w:vAlign w:val="center"/>
          </w:tcPr>
          <w:p w14:paraId="27753203" w14:textId="77777777" w:rsidR="00821405" w:rsidRPr="00EE41B7" w:rsidRDefault="00821405" w:rsidP="00DE3760">
            <w:pPr>
              <w:pStyle w:val="BodyText"/>
            </w:pPr>
            <w:r w:rsidRPr="00EE41B7">
              <w:t>Questionnaire</w:t>
            </w:r>
          </w:p>
        </w:tc>
        <w:tc>
          <w:tcPr>
            <w:tcW w:w="1567" w:type="dxa"/>
          </w:tcPr>
          <w:p w14:paraId="560C5489" w14:textId="77777777" w:rsidR="00821405" w:rsidRPr="00EE41B7" w:rsidRDefault="00821405" w:rsidP="00DE3760">
            <w:pPr>
              <w:pStyle w:val="BodyText"/>
            </w:pPr>
            <w:r w:rsidRPr="00EE41B7">
              <w:t>Positive controllers’ feedback</w:t>
            </w:r>
          </w:p>
        </w:tc>
      </w:tr>
      <w:tr w:rsidR="00821405" w:rsidRPr="00EE41B7" w14:paraId="0C685AFB" w14:textId="77777777" w:rsidTr="00DE3760">
        <w:trPr>
          <w:trHeight w:val="675"/>
        </w:trPr>
        <w:tc>
          <w:tcPr>
            <w:tcW w:w="1860" w:type="dxa"/>
            <w:vMerge/>
          </w:tcPr>
          <w:p w14:paraId="42BDC7ED" w14:textId="77777777" w:rsidR="00821405" w:rsidRPr="00EE41B7" w:rsidRDefault="00821405" w:rsidP="00DE3760">
            <w:pPr>
              <w:pStyle w:val="BodyText"/>
            </w:pPr>
          </w:p>
        </w:tc>
        <w:tc>
          <w:tcPr>
            <w:tcW w:w="1408" w:type="dxa"/>
            <w:vMerge/>
          </w:tcPr>
          <w:p w14:paraId="05ABB12F" w14:textId="77777777" w:rsidR="00821405" w:rsidRPr="00EE41B7" w:rsidRDefault="00821405" w:rsidP="00DE3760">
            <w:pPr>
              <w:pStyle w:val="BodyText"/>
            </w:pPr>
          </w:p>
        </w:tc>
        <w:tc>
          <w:tcPr>
            <w:tcW w:w="2348" w:type="dxa"/>
            <w:vMerge w:val="restart"/>
            <w:vAlign w:val="center"/>
          </w:tcPr>
          <w:p w14:paraId="26B902A3" w14:textId="77777777" w:rsidR="00821405" w:rsidRPr="00EE41B7" w:rsidRDefault="00821405" w:rsidP="00DE3760">
            <w:pPr>
              <w:pStyle w:val="BodyText"/>
            </w:pPr>
            <w:r w:rsidRPr="00EE41B7">
              <w:t>Level of acceptability</w:t>
            </w:r>
          </w:p>
        </w:tc>
        <w:tc>
          <w:tcPr>
            <w:tcW w:w="1862" w:type="dxa"/>
            <w:vAlign w:val="center"/>
          </w:tcPr>
          <w:p w14:paraId="22A6E149" w14:textId="77777777" w:rsidR="00821405" w:rsidRPr="00EE41B7" w:rsidRDefault="00821405" w:rsidP="00DE3760">
            <w:pPr>
              <w:pStyle w:val="BodyText"/>
            </w:pPr>
            <w:r w:rsidRPr="00EE41B7">
              <w:t>Questionnaire</w:t>
            </w:r>
          </w:p>
          <w:p w14:paraId="771D7E97" w14:textId="77777777" w:rsidR="00821405" w:rsidRPr="00EE41B7" w:rsidRDefault="00821405" w:rsidP="00DE3760">
            <w:pPr>
              <w:pStyle w:val="BodyText"/>
            </w:pPr>
            <w:r w:rsidRPr="00EE41B7">
              <w:t>Interviews</w:t>
            </w:r>
          </w:p>
        </w:tc>
        <w:tc>
          <w:tcPr>
            <w:tcW w:w="1567" w:type="dxa"/>
          </w:tcPr>
          <w:p w14:paraId="418E553A" w14:textId="77777777" w:rsidR="00821405" w:rsidRPr="00EE41B7" w:rsidRDefault="00821405" w:rsidP="00DE3760">
            <w:pPr>
              <w:pStyle w:val="BodyText"/>
            </w:pPr>
            <w:r w:rsidRPr="00EE41B7">
              <w:t>Positive controllers’ feedback</w:t>
            </w:r>
          </w:p>
        </w:tc>
      </w:tr>
      <w:tr w:rsidR="00821405" w:rsidRPr="00EE41B7" w14:paraId="0FC15BA7" w14:textId="77777777" w:rsidTr="00DE3760">
        <w:trPr>
          <w:trHeight w:val="1605"/>
        </w:trPr>
        <w:tc>
          <w:tcPr>
            <w:tcW w:w="1860" w:type="dxa"/>
            <w:vMerge/>
          </w:tcPr>
          <w:p w14:paraId="1A76F88C" w14:textId="77777777" w:rsidR="00821405" w:rsidRPr="00EE41B7" w:rsidRDefault="00821405" w:rsidP="00DE3760">
            <w:pPr>
              <w:pStyle w:val="BodyText"/>
            </w:pPr>
          </w:p>
        </w:tc>
        <w:tc>
          <w:tcPr>
            <w:tcW w:w="1408" w:type="dxa"/>
            <w:vMerge/>
          </w:tcPr>
          <w:p w14:paraId="6129D086" w14:textId="77777777" w:rsidR="00821405" w:rsidRPr="00EE41B7" w:rsidRDefault="00821405" w:rsidP="00DE3760">
            <w:pPr>
              <w:pStyle w:val="BodyText"/>
            </w:pPr>
          </w:p>
        </w:tc>
        <w:tc>
          <w:tcPr>
            <w:tcW w:w="2348" w:type="dxa"/>
            <w:vMerge/>
          </w:tcPr>
          <w:p w14:paraId="1C319154" w14:textId="77777777" w:rsidR="00821405" w:rsidRPr="00EE41B7" w:rsidRDefault="00821405" w:rsidP="00DE3760">
            <w:pPr>
              <w:pStyle w:val="BodyText"/>
            </w:pPr>
          </w:p>
        </w:tc>
        <w:tc>
          <w:tcPr>
            <w:tcW w:w="1862" w:type="dxa"/>
            <w:vAlign w:val="center"/>
          </w:tcPr>
          <w:p w14:paraId="34A10587" w14:textId="77777777" w:rsidR="00821405" w:rsidRPr="00821405" w:rsidRDefault="00821405" w:rsidP="00DE3760">
            <w:pPr>
              <w:pStyle w:val="BodyText"/>
              <w:rPr>
                <w:b/>
                <w:bCs/>
              </w:rPr>
            </w:pPr>
            <w:r w:rsidRPr="00821405">
              <w:rPr>
                <w:b/>
                <w:bCs/>
              </w:rPr>
              <w:t>Neurometrics</w:t>
            </w:r>
          </w:p>
        </w:tc>
        <w:tc>
          <w:tcPr>
            <w:tcW w:w="1567" w:type="dxa"/>
          </w:tcPr>
          <w:p w14:paraId="205DE6DC" w14:textId="77777777" w:rsidR="00821405" w:rsidRPr="00821405" w:rsidRDefault="00821405" w:rsidP="00DE3760">
            <w:pPr>
              <w:pStyle w:val="BodyText"/>
              <w:rPr>
                <w:b/>
                <w:bCs/>
              </w:rPr>
            </w:pPr>
            <w:r w:rsidRPr="00821405">
              <w:rPr>
                <w:b/>
                <w:bCs/>
              </w:rPr>
              <w:t xml:space="preserve">High level of Approach-Withdrawal index </w:t>
            </w:r>
          </w:p>
          <w:p w14:paraId="4D6E3F17" w14:textId="77777777" w:rsidR="00821405" w:rsidRPr="00821405" w:rsidRDefault="00821405" w:rsidP="00DE3760">
            <w:pPr>
              <w:pStyle w:val="BodyText"/>
              <w:rPr>
                <w:b/>
                <w:bCs/>
              </w:rPr>
            </w:pPr>
          </w:p>
          <w:p w14:paraId="197745E7" w14:textId="77777777" w:rsidR="00821405" w:rsidRPr="00821405" w:rsidRDefault="00821405" w:rsidP="00DE3760">
            <w:pPr>
              <w:pStyle w:val="BodyText"/>
              <w:rPr>
                <w:b/>
                <w:bCs/>
              </w:rPr>
            </w:pPr>
          </w:p>
        </w:tc>
      </w:tr>
      <w:tr w:rsidR="00821405" w:rsidRPr="00EE41B7" w14:paraId="61231423" w14:textId="77777777" w:rsidTr="00DE3760">
        <w:trPr>
          <w:trHeight w:val="630"/>
        </w:trPr>
        <w:tc>
          <w:tcPr>
            <w:tcW w:w="1860" w:type="dxa"/>
            <w:vAlign w:val="center"/>
          </w:tcPr>
          <w:p w14:paraId="07E5DA02" w14:textId="77777777" w:rsidR="00821405" w:rsidRPr="00EE41B7" w:rsidRDefault="00821405" w:rsidP="00DE3760">
            <w:pPr>
              <w:pStyle w:val="BodyText"/>
            </w:pPr>
          </w:p>
          <w:p w14:paraId="17E92505" w14:textId="77777777" w:rsidR="00821405" w:rsidRPr="00EE41B7" w:rsidRDefault="00821405" w:rsidP="00DE3760">
            <w:pPr>
              <w:pStyle w:val="BodyText"/>
            </w:pPr>
            <w:r w:rsidRPr="00EE41B7">
              <w:t>VO_CDR_2</w:t>
            </w:r>
          </w:p>
        </w:tc>
        <w:tc>
          <w:tcPr>
            <w:tcW w:w="1408" w:type="dxa"/>
            <w:vAlign w:val="center"/>
          </w:tcPr>
          <w:p w14:paraId="663DDD52" w14:textId="77777777" w:rsidR="00821405" w:rsidRPr="00EE41B7" w:rsidRDefault="00821405" w:rsidP="00DE3760">
            <w:pPr>
              <w:pStyle w:val="BodyText"/>
            </w:pPr>
          </w:p>
          <w:p w14:paraId="6E608EF1" w14:textId="77777777" w:rsidR="00821405" w:rsidRPr="00EE41B7" w:rsidRDefault="00821405" w:rsidP="00DE3760">
            <w:pPr>
              <w:pStyle w:val="BodyText"/>
            </w:pPr>
            <w:r w:rsidRPr="00EE41B7">
              <w:t xml:space="preserve">Assess the impact of different levels of transparency and different types of visualisations on </w:t>
            </w:r>
            <w:r w:rsidRPr="00EE41B7">
              <w:rPr>
                <w:b/>
                <w:bCs/>
              </w:rPr>
              <w:t>human performance</w:t>
            </w:r>
          </w:p>
        </w:tc>
        <w:tc>
          <w:tcPr>
            <w:tcW w:w="2348" w:type="dxa"/>
            <w:vAlign w:val="center"/>
          </w:tcPr>
          <w:p w14:paraId="0958B2EF" w14:textId="77777777" w:rsidR="00821405" w:rsidRPr="00EE41B7" w:rsidRDefault="00821405" w:rsidP="00DE3760">
            <w:pPr>
              <w:pStyle w:val="BodyText"/>
            </w:pPr>
            <w:r w:rsidRPr="00EE41B7">
              <w:t>Level of Usability</w:t>
            </w:r>
          </w:p>
        </w:tc>
        <w:tc>
          <w:tcPr>
            <w:tcW w:w="1862" w:type="dxa"/>
            <w:vAlign w:val="center"/>
          </w:tcPr>
          <w:p w14:paraId="2AD52636" w14:textId="77777777" w:rsidR="00821405" w:rsidRPr="00EE41B7" w:rsidRDefault="00821405" w:rsidP="00DE3760">
            <w:pPr>
              <w:pStyle w:val="BodyText"/>
            </w:pPr>
            <w:r w:rsidRPr="00EE41B7">
              <w:t>Questionnaire</w:t>
            </w:r>
          </w:p>
        </w:tc>
        <w:tc>
          <w:tcPr>
            <w:tcW w:w="1567" w:type="dxa"/>
          </w:tcPr>
          <w:p w14:paraId="4E279F9C" w14:textId="77777777" w:rsidR="00821405" w:rsidRPr="00EE41B7" w:rsidRDefault="00821405" w:rsidP="00DE3760">
            <w:pPr>
              <w:pStyle w:val="BodyText"/>
            </w:pPr>
            <w:r w:rsidRPr="00EE41B7">
              <w:t>Positive controllers’ feedback</w:t>
            </w:r>
          </w:p>
        </w:tc>
      </w:tr>
      <w:tr w:rsidR="00821405" w:rsidRPr="00EE41B7" w14:paraId="61C1E8AF" w14:textId="77777777" w:rsidTr="00DE3760">
        <w:trPr>
          <w:trHeight w:val="630"/>
        </w:trPr>
        <w:tc>
          <w:tcPr>
            <w:tcW w:w="1860" w:type="dxa"/>
            <w:vAlign w:val="center"/>
          </w:tcPr>
          <w:p w14:paraId="19C87535" w14:textId="77777777" w:rsidR="00821405" w:rsidRPr="00EE41B7" w:rsidRDefault="00821405" w:rsidP="00DE3760">
            <w:pPr>
              <w:pStyle w:val="BodyText"/>
            </w:pPr>
          </w:p>
        </w:tc>
        <w:tc>
          <w:tcPr>
            <w:tcW w:w="1408" w:type="dxa"/>
            <w:vAlign w:val="center"/>
          </w:tcPr>
          <w:p w14:paraId="3A453AB6" w14:textId="77777777" w:rsidR="00821405" w:rsidRPr="00EE41B7" w:rsidRDefault="00821405" w:rsidP="00DE3760">
            <w:pPr>
              <w:pStyle w:val="BodyText"/>
            </w:pPr>
          </w:p>
        </w:tc>
        <w:tc>
          <w:tcPr>
            <w:tcW w:w="2348" w:type="dxa"/>
            <w:vAlign w:val="center"/>
          </w:tcPr>
          <w:p w14:paraId="0CEA2466" w14:textId="77777777" w:rsidR="00821405" w:rsidRPr="00EE41B7" w:rsidRDefault="00821405" w:rsidP="00DE3760">
            <w:pPr>
              <w:pStyle w:val="BodyText"/>
            </w:pPr>
            <w:r w:rsidRPr="00EE41B7">
              <w:t>Situation Awareness</w:t>
            </w:r>
          </w:p>
        </w:tc>
        <w:tc>
          <w:tcPr>
            <w:tcW w:w="1862" w:type="dxa"/>
            <w:vAlign w:val="center"/>
          </w:tcPr>
          <w:p w14:paraId="0D830D16" w14:textId="77777777" w:rsidR="00821405" w:rsidRPr="00EE41B7" w:rsidRDefault="00821405" w:rsidP="00DE3760">
            <w:pPr>
              <w:pStyle w:val="BodyText"/>
            </w:pPr>
            <w:r w:rsidRPr="00EE41B7">
              <w:t>Questionnaire</w:t>
            </w:r>
          </w:p>
        </w:tc>
        <w:tc>
          <w:tcPr>
            <w:tcW w:w="1567" w:type="dxa"/>
          </w:tcPr>
          <w:p w14:paraId="7799C906" w14:textId="77777777" w:rsidR="00821405" w:rsidRPr="00EE41B7" w:rsidRDefault="00821405" w:rsidP="00DE3760">
            <w:pPr>
              <w:pStyle w:val="BodyText"/>
            </w:pPr>
            <w:r w:rsidRPr="00EE41B7">
              <w:t>Positive controllers’ feedback</w:t>
            </w:r>
          </w:p>
        </w:tc>
      </w:tr>
      <w:tr w:rsidR="00821405" w:rsidRPr="00EE41B7" w14:paraId="2267E22A" w14:textId="77777777" w:rsidTr="00DE3760">
        <w:trPr>
          <w:trHeight w:val="630"/>
        </w:trPr>
        <w:tc>
          <w:tcPr>
            <w:tcW w:w="1860" w:type="dxa"/>
            <w:vAlign w:val="center"/>
          </w:tcPr>
          <w:p w14:paraId="67086501" w14:textId="77777777" w:rsidR="00821405" w:rsidRPr="00EE41B7" w:rsidRDefault="00821405" w:rsidP="00DE3760">
            <w:pPr>
              <w:pStyle w:val="BodyText"/>
            </w:pPr>
          </w:p>
        </w:tc>
        <w:tc>
          <w:tcPr>
            <w:tcW w:w="1408" w:type="dxa"/>
            <w:vAlign w:val="center"/>
          </w:tcPr>
          <w:p w14:paraId="4817B2A0" w14:textId="77777777" w:rsidR="00821405" w:rsidRPr="00EE41B7" w:rsidRDefault="00821405" w:rsidP="00DE3760">
            <w:pPr>
              <w:pStyle w:val="BodyText"/>
            </w:pPr>
          </w:p>
        </w:tc>
        <w:tc>
          <w:tcPr>
            <w:tcW w:w="2348" w:type="dxa"/>
            <w:vAlign w:val="center"/>
          </w:tcPr>
          <w:p w14:paraId="502C871B" w14:textId="77777777" w:rsidR="00821405" w:rsidRPr="00EE41B7" w:rsidRDefault="00821405" w:rsidP="00DE3760">
            <w:pPr>
              <w:pStyle w:val="BodyText"/>
            </w:pPr>
            <w:r w:rsidRPr="00EE41B7">
              <w:t>Trust</w:t>
            </w:r>
          </w:p>
        </w:tc>
        <w:tc>
          <w:tcPr>
            <w:tcW w:w="1862" w:type="dxa"/>
            <w:vAlign w:val="center"/>
          </w:tcPr>
          <w:p w14:paraId="5747EEA0" w14:textId="77777777" w:rsidR="00821405" w:rsidRPr="00EE41B7" w:rsidRDefault="00821405" w:rsidP="00DE3760">
            <w:pPr>
              <w:pStyle w:val="BodyText"/>
            </w:pPr>
            <w:r w:rsidRPr="00EE41B7">
              <w:t>Questionnaire</w:t>
            </w:r>
          </w:p>
        </w:tc>
        <w:tc>
          <w:tcPr>
            <w:tcW w:w="1567" w:type="dxa"/>
          </w:tcPr>
          <w:p w14:paraId="7D9A4577" w14:textId="77777777" w:rsidR="00821405" w:rsidRPr="00EE41B7" w:rsidRDefault="00821405" w:rsidP="00DE3760">
            <w:pPr>
              <w:pStyle w:val="BodyText"/>
            </w:pPr>
            <w:r w:rsidRPr="00EE41B7">
              <w:t>Positive controllers’ feedback</w:t>
            </w:r>
          </w:p>
        </w:tc>
      </w:tr>
      <w:tr w:rsidR="00821405" w:rsidRPr="00EE41B7" w14:paraId="480B762B" w14:textId="77777777" w:rsidTr="00DE3760">
        <w:trPr>
          <w:trHeight w:val="650"/>
        </w:trPr>
        <w:tc>
          <w:tcPr>
            <w:tcW w:w="1860" w:type="dxa"/>
          </w:tcPr>
          <w:p w14:paraId="065C2985" w14:textId="77777777" w:rsidR="00821405" w:rsidRPr="00EE41B7" w:rsidRDefault="00821405" w:rsidP="00DE3760">
            <w:pPr>
              <w:pStyle w:val="BodyText"/>
            </w:pPr>
          </w:p>
        </w:tc>
        <w:tc>
          <w:tcPr>
            <w:tcW w:w="1408" w:type="dxa"/>
          </w:tcPr>
          <w:p w14:paraId="18B19901" w14:textId="77777777" w:rsidR="00821405" w:rsidRPr="00EE41B7" w:rsidRDefault="00821405" w:rsidP="00DE3760">
            <w:pPr>
              <w:pStyle w:val="BodyText"/>
            </w:pPr>
          </w:p>
        </w:tc>
        <w:tc>
          <w:tcPr>
            <w:tcW w:w="2348" w:type="dxa"/>
            <w:vAlign w:val="center"/>
          </w:tcPr>
          <w:p w14:paraId="70476BFD" w14:textId="77777777" w:rsidR="00821405" w:rsidRPr="00821405" w:rsidRDefault="00821405" w:rsidP="00DE3760">
            <w:pPr>
              <w:pStyle w:val="BodyText"/>
              <w:rPr>
                <w:b/>
                <w:bCs/>
              </w:rPr>
            </w:pPr>
            <w:r w:rsidRPr="00821405">
              <w:rPr>
                <w:b/>
                <w:bCs/>
              </w:rPr>
              <w:t>Mental Workload</w:t>
            </w:r>
          </w:p>
        </w:tc>
        <w:tc>
          <w:tcPr>
            <w:tcW w:w="1862" w:type="dxa"/>
            <w:vAlign w:val="center"/>
          </w:tcPr>
          <w:p w14:paraId="7F06C4B0" w14:textId="77777777" w:rsidR="00821405" w:rsidRPr="00821405" w:rsidRDefault="00821405" w:rsidP="00DE3760">
            <w:pPr>
              <w:pStyle w:val="BodyText"/>
              <w:rPr>
                <w:b/>
                <w:bCs/>
              </w:rPr>
            </w:pPr>
            <w:r w:rsidRPr="00821405">
              <w:rPr>
                <w:b/>
                <w:bCs/>
              </w:rPr>
              <w:t xml:space="preserve">Neurometrics </w:t>
            </w:r>
          </w:p>
        </w:tc>
        <w:tc>
          <w:tcPr>
            <w:tcW w:w="1567" w:type="dxa"/>
            <w:vMerge w:val="restart"/>
          </w:tcPr>
          <w:p w14:paraId="41B496D6" w14:textId="77777777" w:rsidR="00821405" w:rsidRPr="00821405" w:rsidRDefault="00821405" w:rsidP="00DE3760">
            <w:pPr>
              <w:pStyle w:val="BodyText"/>
              <w:rPr>
                <w:b/>
                <w:bCs/>
              </w:rPr>
            </w:pPr>
            <w:r w:rsidRPr="00821405">
              <w:rPr>
                <w:b/>
                <w:bCs/>
              </w:rPr>
              <w:t>Reduced/not increased workload/stress as level of transparency increases</w:t>
            </w:r>
          </w:p>
        </w:tc>
      </w:tr>
      <w:tr w:rsidR="00821405" w:rsidRPr="00EE41B7" w14:paraId="5A0CD1F2" w14:textId="77777777" w:rsidTr="00DE3760">
        <w:tc>
          <w:tcPr>
            <w:tcW w:w="1860" w:type="dxa"/>
          </w:tcPr>
          <w:p w14:paraId="7AC13512" w14:textId="77777777" w:rsidR="00821405" w:rsidRPr="00EE41B7" w:rsidRDefault="00821405" w:rsidP="00DE3760">
            <w:pPr>
              <w:pStyle w:val="BodyText"/>
            </w:pPr>
          </w:p>
        </w:tc>
        <w:tc>
          <w:tcPr>
            <w:tcW w:w="1408" w:type="dxa"/>
          </w:tcPr>
          <w:p w14:paraId="611DF17E" w14:textId="77777777" w:rsidR="00821405" w:rsidRPr="00EE41B7" w:rsidRDefault="00821405" w:rsidP="00DE3760">
            <w:pPr>
              <w:pStyle w:val="BodyText"/>
            </w:pPr>
          </w:p>
        </w:tc>
        <w:tc>
          <w:tcPr>
            <w:tcW w:w="2348" w:type="dxa"/>
            <w:vAlign w:val="center"/>
          </w:tcPr>
          <w:p w14:paraId="54C655A6" w14:textId="77777777" w:rsidR="00821405" w:rsidRPr="00821405" w:rsidRDefault="00821405" w:rsidP="00DE3760">
            <w:pPr>
              <w:pStyle w:val="BodyText"/>
              <w:rPr>
                <w:b/>
                <w:bCs/>
              </w:rPr>
            </w:pPr>
            <w:r w:rsidRPr="00821405">
              <w:rPr>
                <w:b/>
                <w:bCs/>
              </w:rPr>
              <w:t xml:space="preserve">Stress </w:t>
            </w:r>
          </w:p>
        </w:tc>
        <w:tc>
          <w:tcPr>
            <w:tcW w:w="1862" w:type="dxa"/>
            <w:vAlign w:val="center"/>
          </w:tcPr>
          <w:p w14:paraId="57D0AA34" w14:textId="77777777" w:rsidR="00821405" w:rsidRPr="00821405" w:rsidRDefault="00821405" w:rsidP="00DE3760">
            <w:pPr>
              <w:pStyle w:val="BodyText"/>
              <w:rPr>
                <w:b/>
                <w:bCs/>
              </w:rPr>
            </w:pPr>
            <w:r w:rsidRPr="00821405">
              <w:rPr>
                <w:b/>
                <w:bCs/>
              </w:rPr>
              <w:t xml:space="preserve">Neurometrics </w:t>
            </w:r>
          </w:p>
        </w:tc>
        <w:tc>
          <w:tcPr>
            <w:tcW w:w="1567" w:type="dxa"/>
            <w:vMerge/>
          </w:tcPr>
          <w:p w14:paraId="7B1E721E" w14:textId="77777777" w:rsidR="00821405" w:rsidRPr="00821405" w:rsidRDefault="00821405" w:rsidP="00DE3760">
            <w:pPr>
              <w:pStyle w:val="BodyText"/>
              <w:rPr>
                <w:b/>
                <w:bCs/>
              </w:rPr>
            </w:pPr>
          </w:p>
        </w:tc>
      </w:tr>
      <w:tr w:rsidR="00821405" w:rsidRPr="00EE41B7" w14:paraId="47BD81F2" w14:textId="77777777" w:rsidTr="00DE3760">
        <w:trPr>
          <w:trHeight w:val="1370"/>
        </w:trPr>
        <w:tc>
          <w:tcPr>
            <w:tcW w:w="1860" w:type="dxa"/>
            <w:vAlign w:val="center"/>
          </w:tcPr>
          <w:p w14:paraId="38DF243B" w14:textId="77777777" w:rsidR="00821405" w:rsidRPr="00EE41B7" w:rsidRDefault="00821405" w:rsidP="00DE3760">
            <w:pPr>
              <w:pStyle w:val="BodyText"/>
            </w:pPr>
          </w:p>
        </w:tc>
        <w:tc>
          <w:tcPr>
            <w:tcW w:w="1408" w:type="dxa"/>
          </w:tcPr>
          <w:p w14:paraId="637DB3D0" w14:textId="77777777" w:rsidR="00821405" w:rsidRPr="00EE41B7" w:rsidRDefault="00821405" w:rsidP="00DE3760">
            <w:pPr>
              <w:pStyle w:val="BodyText"/>
            </w:pPr>
          </w:p>
        </w:tc>
        <w:tc>
          <w:tcPr>
            <w:tcW w:w="2348" w:type="dxa"/>
            <w:vAlign w:val="center"/>
          </w:tcPr>
          <w:p w14:paraId="68681E3B" w14:textId="77777777" w:rsidR="00821405" w:rsidRPr="00EE41B7" w:rsidRDefault="00821405" w:rsidP="00DE3760">
            <w:pPr>
              <w:pStyle w:val="BodyText"/>
            </w:pPr>
            <w:r w:rsidRPr="00EE41B7">
              <w:t>Task Performances</w:t>
            </w:r>
          </w:p>
        </w:tc>
        <w:tc>
          <w:tcPr>
            <w:tcW w:w="1862" w:type="dxa"/>
            <w:vAlign w:val="center"/>
          </w:tcPr>
          <w:p w14:paraId="7D5CBE4F" w14:textId="77777777" w:rsidR="00821405" w:rsidRPr="00EE41B7" w:rsidRDefault="00821405" w:rsidP="00DE3760">
            <w:pPr>
              <w:pStyle w:val="BodyText"/>
            </w:pPr>
            <w:r w:rsidRPr="00EE41B7">
              <w:t>Log files from the simulator</w:t>
            </w:r>
          </w:p>
        </w:tc>
        <w:tc>
          <w:tcPr>
            <w:tcW w:w="1567" w:type="dxa"/>
          </w:tcPr>
          <w:p w14:paraId="69FDC6B8" w14:textId="77777777" w:rsidR="00821405" w:rsidRPr="00EE41B7" w:rsidRDefault="00821405" w:rsidP="00DE3760">
            <w:pPr>
              <w:pStyle w:val="BodyText"/>
            </w:pPr>
            <w:r w:rsidRPr="00EE41B7">
              <w:t>Increasing/not decreased level of performance as transparency increases</w:t>
            </w:r>
          </w:p>
        </w:tc>
      </w:tr>
      <w:tr w:rsidR="00821405" w:rsidRPr="00EE41B7" w14:paraId="06636446" w14:textId="77777777" w:rsidTr="00DE3760">
        <w:trPr>
          <w:trHeight w:val="1910"/>
        </w:trPr>
        <w:tc>
          <w:tcPr>
            <w:tcW w:w="1860" w:type="dxa"/>
          </w:tcPr>
          <w:p w14:paraId="4C2EF97B" w14:textId="77777777" w:rsidR="00821405" w:rsidRPr="00EE41B7" w:rsidRDefault="00821405" w:rsidP="00DE3760">
            <w:pPr>
              <w:pStyle w:val="BodyText"/>
            </w:pPr>
            <w:r w:rsidRPr="00EE41B7">
              <w:t xml:space="preserve"> VO_CDR_3</w:t>
            </w:r>
          </w:p>
        </w:tc>
        <w:tc>
          <w:tcPr>
            <w:tcW w:w="1408" w:type="dxa"/>
          </w:tcPr>
          <w:p w14:paraId="4125B1FC" w14:textId="77777777" w:rsidR="00821405" w:rsidRPr="00EE41B7" w:rsidRDefault="00821405" w:rsidP="00DE3760">
            <w:pPr>
              <w:pStyle w:val="BodyText"/>
            </w:pPr>
            <w:r w:rsidRPr="00EE41B7">
              <w:t xml:space="preserve">Investigate the correlation between </w:t>
            </w:r>
            <w:r w:rsidRPr="00EE41B7">
              <w:rPr>
                <w:b/>
                <w:bCs/>
              </w:rPr>
              <w:t>acceptance</w:t>
            </w:r>
            <w:r w:rsidRPr="00EE41B7">
              <w:t xml:space="preserve"> and </w:t>
            </w:r>
            <w:r w:rsidRPr="00EE41B7">
              <w:rPr>
                <w:b/>
                <w:bCs/>
              </w:rPr>
              <w:t>human performance</w:t>
            </w:r>
          </w:p>
        </w:tc>
        <w:tc>
          <w:tcPr>
            <w:tcW w:w="2348" w:type="dxa"/>
          </w:tcPr>
          <w:p w14:paraId="5E29E344" w14:textId="77777777" w:rsidR="00821405" w:rsidRPr="00EE41B7" w:rsidRDefault="00821405" w:rsidP="00DE3760">
            <w:pPr>
              <w:pStyle w:val="BodyText"/>
            </w:pPr>
          </w:p>
        </w:tc>
        <w:tc>
          <w:tcPr>
            <w:tcW w:w="1862" w:type="dxa"/>
          </w:tcPr>
          <w:p w14:paraId="080095ED" w14:textId="77777777" w:rsidR="00821405" w:rsidRPr="00EE41B7" w:rsidRDefault="00821405" w:rsidP="00DE3760">
            <w:pPr>
              <w:pStyle w:val="BodyText"/>
            </w:pPr>
            <w:r w:rsidRPr="00EE41B7">
              <w:t>All of the above</w:t>
            </w:r>
          </w:p>
        </w:tc>
        <w:tc>
          <w:tcPr>
            <w:tcW w:w="1567" w:type="dxa"/>
          </w:tcPr>
          <w:p w14:paraId="19845FFE" w14:textId="77777777" w:rsidR="00821405" w:rsidRPr="00EE41B7" w:rsidRDefault="00821405" w:rsidP="00DE3760">
            <w:pPr>
              <w:pStyle w:val="BodyText"/>
            </w:pPr>
            <w:r w:rsidRPr="00EE41B7">
              <w:t>Variations in human performance are directly proportional to variations in acceptance.</w:t>
            </w:r>
          </w:p>
        </w:tc>
      </w:tr>
      <w:tr w:rsidR="00821405" w:rsidRPr="00EE41B7" w14:paraId="24B0ADDB" w14:textId="77777777" w:rsidTr="00DE3760">
        <w:tc>
          <w:tcPr>
            <w:tcW w:w="1860" w:type="dxa"/>
            <w:vMerge w:val="restart"/>
          </w:tcPr>
          <w:p w14:paraId="2E0A9278" w14:textId="77777777" w:rsidR="00821405" w:rsidRPr="00EE41B7" w:rsidRDefault="00821405" w:rsidP="00DE3760">
            <w:pPr>
              <w:pStyle w:val="BodyText"/>
            </w:pPr>
            <w:r w:rsidRPr="00EE41B7">
              <w:t xml:space="preserve"> VO_CDR_4</w:t>
            </w:r>
          </w:p>
        </w:tc>
        <w:tc>
          <w:tcPr>
            <w:tcW w:w="1408" w:type="dxa"/>
            <w:vMerge w:val="restart"/>
          </w:tcPr>
          <w:p w14:paraId="66A1D28B" w14:textId="77777777" w:rsidR="00821405" w:rsidRPr="00EE41B7" w:rsidRDefault="00821405" w:rsidP="00DE3760">
            <w:pPr>
              <w:pStyle w:val="BodyText"/>
              <w:rPr>
                <w:b/>
                <w:bCs/>
              </w:rPr>
            </w:pPr>
            <w:r w:rsidRPr="00EE41B7">
              <w:t xml:space="preserve">Assess </w:t>
            </w:r>
            <w:r w:rsidRPr="00EE41B7">
              <w:rPr>
                <w:b/>
                <w:bCs/>
              </w:rPr>
              <w:t>system</w:t>
            </w:r>
            <w:r w:rsidRPr="00EE41B7">
              <w:t xml:space="preserve"> </w:t>
            </w:r>
            <w:r w:rsidRPr="00EE41B7">
              <w:rPr>
                <w:b/>
                <w:bCs/>
              </w:rPr>
              <w:t>performance</w:t>
            </w:r>
          </w:p>
        </w:tc>
        <w:tc>
          <w:tcPr>
            <w:tcW w:w="2348" w:type="dxa"/>
          </w:tcPr>
          <w:p w14:paraId="69170D3D" w14:textId="77777777" w:rsidR="00821405" w:rsidRPr="00EE41B7" w:rsidRDefault="00821405" w:rsidP="00DE3760">
            <w:pPr>
              <w:pStyle w:val="BodyText"/>
            </w:pPr>
            <w:r w:rsidRPr="00EE41B7">
              <w:t>Expected impact on the safety</w:t>
            </w:r>
          </w:p>
        </w:tc>
        <w:tc>
          <w:tcPr>
            <w:tcW w:w="1862" w:type="dxa"/>
          </w:tcPr>
          <w:p w14:paraId="3463C8D5" w14:textId="77777777" w:rsidR="00821405" w:rsidRPr="00EE41B7" w:rsidRDefault="00821405" w:rsidP="00DE3760">
            <w:pPr>
              <w:pStyle w:val="BodyText"/>
            </w:pPr>
            <w:r w:rsidRPr="00EE41B7">
              <w:t>All of the above</w:t>
            </w:r>
          </w:p>
        </w:tc>
        <w:tc>
          <w:tcPr>
            <w:tcW w:w="1567" w:type="dxa"/>
          </w:tcPr>
          <w:p w14:paraId="731C6DE4" w14:textId="77777777" w:rsidR="00821405" w:rsidRPr="00EE41B7" w:rsidRDefault="00821405" w:rsidP="00DE3760">
            <w:pPr>
              <w:pStyle w:val="BodyText"/>
            </w:pPr>
            <w:r w:rsidRPr="00EE41B7">
              <w:t>Positive controllers' feedback</w:t>
            </w:r>
          </w:p>
        </w:tc>
      </w:tr>
      <w:tr w:rsidR="00821405" w:rsidRPr="00EE41B7" w14:paraId="10ECC238" w14:textId="77777777" w:rsidTr="00DE3760">
        <w:tc>
          <w:tcPr>
            <w:tcW w:w="1860" w:type="dxa"/>
            <w:vMerge/>
          </w:tcPr>
          <w:p w14:paraId="290A5EEF" w14:textId="77777777" w:rsidR="00821405" w:rsidRPr="00EE41B7" w:rsidRDefault="00821405" w:rsidP="00DE3760">
            <w:pPr>
              <w:pStyle w:val="BodyText"/>
            </w:pPr>
          </w:p>
        </w:tc>
        <w:tc>
          <w:tcPr>
            <w:tcW w:w="1408" w:type="dxa"/>
            <w:vMerge/>
          </w:tcPr>
          <w:p w14:paraId="0DE8CF65" w14:textId="77777777" w:rsidR="00821405" w:rsidRPr="00EE41B7" w:rsidRDefault="00821405" w:rsidP="00DE3760">
            <w:pPr>
              <w:pStyle w:val="BodyText"/>
            </w:pPr>
          </w:p>
        </w:tc>
        <w:tc>
          <w:tcPr>
            <w:tcW w:w="2348" w:type="dxa"/>
          </w:tcPr>
          <w:p w14:paraId="3768FDA1" w14:textId="77777777" w:rsidR="00821405" w:rsidRPr="00EE41B7" w:rsidRDefault="00821405" w:rsidP="00DE3760">
            <w:pPr>
              <w:pStyle w:val="BodyText"/>
            </w:pPr>
            <w:r w:rsidRPr="00EE41B7">
              <w:t>Expected impact on ATM system</w:t>
            </w:r>
          </w:p>
        </w:tc>
        <w:tc>
          <w:tcPr>
            <w:tcW w:w="1862" w:type="dxa"/>
          </w:tcPr>
          <w:p w14:paraId="51D6DC35" w14:textId="77777777" w:rsidR="00821405" w:rsidRPr="00EE41B7" w:rsidRDefault="00821405" w:rsidP="00DE3760">
            <w:pPr>
              <w:pStyle w:val="BodyText"/>
            </w:pPr>
            <w:r w:rsidRPr="00EE41B7">
              <w:t>All of the above</w:t>
            </w:r>
          </w:p>
        </w:tc>
        <w:tc>
          <w:tcPr>
            <w:tcW w:w="1567" w:type="dxa"/>
          </w:tcPr>
          <w:p w14:paraId="3ACACB79" w14:textId="77777777" w:rsidR="00821405" w:rsidRPr="00EE41B7" w:rsidRDefault="00821405" w:rsidP="00DE3760">
            <w:pPr>
              <w:pStyle w:val="BodyText"/>
            </w:pPr>
            <w:r w:rsidRPr="00EE41B7">
              <w:t xml:space="preserve"> Positive controllers' feedback</w:t>
            </w:r>
          </w:p>
        </w:tc>
      </w:tr>
    </w:tbl>
    <w:p w14:paraId="65E388FA" w14:textId="77777777" w:rsidR="00821405" w:rsidRDefault="00821405" w:rsidP="00821405">
      <w:pPr>
        <w:pStyle w:val="BodyText"/>
      </w:pPr>
    </w:p>
    <w:p w14:paraId="733CF2E8" w14:textId="147E8F21" w:rsidR="00821405" w:rsidRPr="002F637A" w:rsidRDefault="00821405" w:rsidP="00821405">
      <w:pPr>
        <w:pStyle w:val="BodyText"/>
      </w:pPr>
      <w:r>
        <w:lastRenderedPageBreak/>
        <w:t>As can be seen from the table above, Neurophysiological measures will be employed to cover three out of the four objectives expected from the validation (</w:t>
      </w:r>
      <w:r w:rsidR="00095DBD">
        <w:t>i.e.,</w:t>
      </w:r>
      <w:r>
        <w:t xml:space="preserve"> 1 to 3), and related success criteria. In fact, the acceptability, representing one of the three elements at the basis of the technology acceptance model defined by Davis </w:t>
      </w:r>
      <w:r>
        <w:fldChar w:fldCharType="begin" w:fldLock="1"/>
      </w:r>
      <w:r>
        <w:instrText>ADDIN CSL_CITATION {"citationItems":[{"id":"ITEM-1","itemData":{"DOI":"10.2307/249008","ISSN":"02767783","abstract":"Valid measurement scales for predicting user acceptance of computers are in short supply. Most subjective measures used in practice are unvalidated, and their relationship to system usage is unknown. The present research develops and vandales new scales for two specific variables, perceived usefulness and perceived ease of use, which are hypothesized to be fundamental determinants of user acceptance. Definitions for these two variables were used to develop scale items that were pretested for content validity and then tested for reliability and construct validity in two studies involving a total of 152 users and four application programs. The measures were refined and stream-lined, resulting in two six-item scales with reliabilities of .98 for usefulness and .94 for ease of use. The scales exhibited high convergent, discriminant, and factorial validity. Perceived usefulness was significantly correlated with both self-reported current usage (r=.63, Study 1) and self-predicted future usage (r=.85, Study 2). Perceived ease of use was also significantly correlated with current usage (r=.45, Study 1) and future usage (r=.59, Study 2). In both studies, usefulness had a significantly greater correlation with usage behavior than did ease of use. Regression analyses suggest that perceived ease of use may actually be a causal antecedent to perceived usefulness, as opposed toy a parallel, direct determinant of system usage. Implications are drawn for future research on user acceptance.","author":[{"dropping-particle":"","family":"Davis","given":"Fred D.","non-dropping-particle":"","parse-names":false,"suffix":""}],"container-title":"MIS Quarterly: Management Information Systems","id":"ITEM-1","issue":"3","issued":{"date-parts":[["1989"]]},"page":"319-339","publisher":"Management Information Systems Research Center","title":"Perceived usefulness, perceived ease of use, and user acceptance of information technology","type":"article-journal","volume":"13"},"uris":["http://www.mendeley.com/documents/?uuid=1cb0e6ff-1d4d-3899-a9bb-51e9e8576799"]}],"mendeley":{"formattedCitation":"[1]","plainTextFormattedCitation":"[1]","previouslyFormattedCitation":"[1]"},"properties":{"noteIndex":0},"schema":"https://github.com/citation-style-language/schema/raw/master/csl-citation.json"}</w:instrText>
      </w:r>
      <w:r>
        <w:fldChar w:fldCharType="separate"/>
      </w:r>
      <w:r w:rsidRPr="00EE1C5A">
        <w:rPr>
          <w:noProof/>
        </w:rPr>
        <w:t>[1]</w:t>
      </w:r>
      <w:r>
        <w:fldChar w:fldCharType="end"/>
      </w:r>
      <w:r>
        <w:t xml:space="preserve"> will be assessed by using the Approach-Withdrawal index. While Stress and Workload represent two out of the six elements composing the human performance of ATCOs that will be measured during the different experimental conditions (see D6.1 for further details). With regard to VO_CDR1, the it is expected to have higher level of Acceptance from the operator side (i.e. higher Approach-Withdrawal index)</w:t>
      </w:r>
      <w:r w:rsidR="009E0C1A">
        <w:t xml:space="preserve"> in correspondence of</w:t>
      </w:r>
      <w:r>
        <w:t xml:space="preserve"> the level of transparency increase. Regarding the VO_CDR2, if the level of transparency increases, it is expected to not generate </w:t>
      </w:r>
      <w:r w:rsidR="00AA4242">
        <w:t>detrimental</w:t>
      </w:r>
      <w:r>
        <w:t xml:space="preserve"> induced workload and stress</w:t>
      </w:r>
      <w:r w:rsidR="00AA4242">
        <w:t xml:space="preserve"> levels</w:t>
      </w:r>
      <w:r>
        <w:t xml:space="preserve"> (</w:t>
      </w:r>
      <w:r w:rsidR="00095DBD">
        <w:t>e.g.,</w:t>
      </w:r>
      <w:r>
        <w:t xml:space="preserve"> overload and overstress). </w:t>
      </w:r>
      <w:r w:rsidRPr="002F637A">
        <w:t xml:space="preserve">With </w:t>
      </w:r>
      <w:r w:rsidR="00095DBD" w:rsidRPr="002F637A">
        <w:t>regard</w:t>
      </w:r>
      <w:r w:rsidRPr="002F637A">
        <w:t xml:space="preserve"> to </w:t>
      </w:r>
      <w:r>
        <w:t>VO_CDR_3</w:t>
      </w:r>
      <w:r w:rsidRPr="002F637A">
        <w:t>, the</w:t>
      </w:r>
      <w:r>
        <w:t xml:space="preserve"> working</w:t>
      </w:r>
      <w:r w:rsidRPr="002F637A">
        <w:t xml:space="preserve"> hypothesis that will be demonstrated during the project validation activities is that there could be a correlation between the technology acceptance and human performance (see Table</w:t>
      </w:r>
      <w:r>
        <w:t xml:space="preserve"> 1</w:t>
      </w:r>
      <w:r w:rsidRPr="002F637A">
        <w:t xml:space="preserve"> and </w:t>
      </w:r>
      <w:r w:rsidRPr="000351DA">
        <w:t>Hypothesis</w:t>
      </w:r>
      <w:r w:rsidRPr="002F637A">
        <w:t xml:space="preserve"> 3 of the conflict resolution tool in the D6.1), meaning not only behavioural performance, but also workload and/or stress correlation. In this regard, the technology acceptance model (TAM, </w:t>
      </w:r>
      <w:r>
        <w:fldChar w:fldCharType="begin" w:fldLock="1"/>
      </w:r>
      <w:r>
        <w:instrText>ADDIN CSL_CITATION {"citationItems":[{"id":"ITEM-1","itemData":{"DOI":"10.2307/249008","ISSN":"02767783","abstract":"Valid measurement scales for predicting user acceptance of computers are in short supply. Most subjective measures used in practice are unvalidated, and their relationship to system usage is unknown. The present research develops and vandales new scales for two specific variables, perceived usefulness and perceived ease of use, which are hypothesized to be fundamental determinants of user acceptance. Definitions for these two variables were used to develop scale items that were pretested for content validity and then tested for reliability and construct validity in two studies involving a total of 152 users and four application programs. The measures were refined and stream-lined, resulting in two six-item scales with reliabilities of .98 for usefulness and .94 for ease of use. The scales exhibited high convergent, discriminant, and factorial validity. Perceived usefulness was significantly correlated with both self-reported current usage (r=.63, Study 1) and self-predicted future usage (r=.85, Study 2). Perceived ease of use was also significantly correlated with current usage (r=.45, Study 1) and future usage (r=.59, Study 2). In both studies, usefulness had a significantly greater correlation with usage behavior than did ease of use. Regression analyses suggest that perceived ease of use may actually be a causal antecedent to perceived usefulness, as opposed toy a parallel, direct determinant of system usage. Implications are drawn for future research on user acceptance.","author":[{"dropping-particle":"","family":"Davis","given":"Fred D.","non-dropping-particle":"","parse-names":false,"suffix":""}],"container-title":"MIS Quarterly: Management Information Systems","id":"ITEM-1","issue":"3","issued":{"date-parts":[["1989"]]},"page":"319-339","publisher":"Management Information Systems Research Center","title":"Perceived usefulness, perceived ease of use, and user acceptance of information technology","type":"article-journal","volume":"13"},"uris":["http://www.mendeley.com/documents/?uuid=1cb0e6ff-1d4d-3899-a9bb-51e9e8576799"]}],"mendeley":{"formattedCitation":"[1]","plainTextFormattedCitation":"[1]","previouslyFormattedCitation":"[1]"},"properties":{"noteIndex":0},"schema":"https://github.com/citation-style-language/schema/raw/master/csl-citation.json"}</w:instrText>
      </w:r>
      <w:r>
        <w:fldChar w:fldCharType="separate"/>
      </w:r>
      <w:r w:rsidRPr="00EE1C5A">
        <w:rPr>
          <w:noProof/>
        </w:rPr>
        <w:t>[1]</w:t>
      </w:r>
      <w:r>
        <w:fldChar w:fldCharType="end"/>
      </w:r>
      <w:r w:rsidRPr="002F637A">
        <w:t>) employed in the ARTIMATION project, suggests that the acceptance impacts on the degree to which a person believes that using a particular system would enhance their job performance.</w:t>
      </w:r>
    </w:p>
    <w:p w14:paraId="043FAE1D" w14:textId="49AE7F9B" w:rsidR="00821405" w:rsidRDefault="00821405" w:rsidP="00821405">
      <w:pPr>
        <w:pStyle w:val="BodyText"/>
      </w:pPr>
      <w:r>
        <w:t>With respect of just using subjective measures (</w:t>
      </w:r>
      <w:r w:rsidR="00095DBD">
        <w:t>e.g.,</w:t>
      </w:r>
      <w:r>
        <w:t xml:space="preserve"> questionnaires), o</w:t>
      </w:r>
      <w:r w:rsidRPr="00EA75EE">
        <w:t>ne of the big advantages to have onboard the neurophysiological measures is the possibility to assess on time (e.g., second by second) the actual mental or emotional state of the user</w:t>
      </w:r>
      <w:r>
        <w:t xml:space="preserve">. So, it would be possible to assess during each experimental condition specific periods inducing </w:t>
      </w:r>
      <w:r w:rsidR="00095DBD">
        <w:t>mental</w:t>
      </w:r>
      <w:r>
        <w:t xml:space="preserve"> and emotional states. </w:t>
      </w:r>
    </w:p>
    <w:p w14:paraId="1A073D85" w14:textId="45E94026" w:rsidR="00821405" w:rsidRPr="002F637A" w:rsidRDefault="00821405" w:rsidP="00821405">
      <w:pPr>
        <w:pStyle w:val="BodyText"/>
      </w:pPr>
      <w:r w:rsidRPr="002F637A">
        <w:t xml:space="preserve">What </w:t>
      </w:r>
      <w:r>
        <w:t>ARTIMATION project will also investigate during the validation activities</w:t>
      </w:r>
      <w:r w:rsidRPr="002F637A">
        <w:t>, is the co-variation among the different factors, that not necessarily have to go in the same direction (</w:t>
      </w:r>
      <w:r w:rsidR="00095DBD" w:rsidRPr="002F637A">
        <w:t>e.g.,</w:t>
      </w:r>
      <w:r w:rsidRPr="002F637A">
        <w:t xml:space="preserve"> workload and stress both increasing too much).</w:t>
      </w:r>
      <w:r>
        <w:t xml:space="preserve"> We would like to see</w:t>
      </w:r>
      <w:r w:rsidRPr="002F637A">
        <w:t xml:space="preserve"> if and when these human factors become unacceptable, </w:t>
      </w:r>
      <w:r w:rsidR="00095DBD" w:rsidRPr="002F637A">
        <w:t>i.e.,</w:t>
      </w:r>
      <w:r w:rsidRPr="002F637A">
        <w:t xml:space="preserve"> if they negatively affect the performances. To provide practical examples, if by using two solutions it can be reached comparable levels of performances, it is preferrable the one in which workload and stress are in the optimal range (see Figure 1), but with lower values, </w:t>
      </w:r>
      <w:r w:rsidR="00095DBD" w:rsidRPr="002F637A">
        <w:t>to</w:t>
      </w:r>
      <w:r w:rsidRPr="002F637A">
        <w:t xml:space="preserve"> save available spare capacity of the operator (see Figure 2). On the contrary, those solutions in which the operator goes in under/over workload and/or under/over stress, so inducing decreasing in performances, should be avoided.</w:t>
      </w:r>
    </w:p>
    <w:p w14:paraId="22CFC686" w14:textId="77777777" w:rsidR="00821405" w:rsidRPr="006E4C88" w:rsidRDefault="00821405" w:rsidP="00821405">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0"/>
        <w:gridCol w:w="4740"/>
      </w:tblGrid>
      <w:tr w:rsidR="00821405" w:rsidRPr="002F637A" w14:paraId="3D01B561" w14:textId="77777777" w:rsidTr="00DE3760">
        <w:tc>
          <w:tcPr>
            <w:tcW w:w="4508" w:type="dxa"/>
          </w:tcPr>
          <w:p w14:paraId="17FFC6CB" w14:textId="77777777" w:rsidR="00821405" w:rsidRPr="006E4C88" w:rsidRDefault="00821405" w:rsidP="00DE3760">
            <w:pPr>
              <w:pStyle w:val="BodyText"/>
            </w:pPr>
            <w:r w:rsidRPr="006E4C88">
              <w:rPr>
                <w:noProof/>
              </w:rPr>
              <w:drawing>
                <wp:inline distT="0" distB="0" distL="0" distR="0" wp14:anchorId="5E5F5ACF" wp14:editId="0B2BADF7">
                  <wp:extent cx="2616056" cy="2283967"/>
                  <wp:effectExtent l="0" t="0" r="0" b="2540"/>
                  <wp:docPr id="12" name="Immagine 8">
                    <a:extLst xmlns:a="http://schemas.openxmlformats.org/drawingml/2006/main">
                      <a:ext uri="{FF2B5EF4-FFF2-40B4-BE49-F238E27FC236}">
                        <a16:creationId xmlns:a16="http://schemas.microsoft.com/office/drawing/2014/main" id="{CE9EF3C6-7C18-45B1-9EDC-0D0C4CD61D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8">
                            <a:extLst>
                              <a:ext uri="{FF2B5EF4-FFF2-40B4-BE49-F238E27FC236}">
                                <a16:creationId xmlns:a16="http://schemas.microsoft.com/office/drawing/2014/main" id="{CE9EF3C6-7C18-45B1-9EDC-0D0C4CD61D98}"/>
                              </a:ext>
                            </a:extLst>
                          </pic:cNvPr>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2646623" cy="2310654"/>
                          </a:xfrm>
                          <a:prstGeom prst="rect">
                            <a:avLst/>
                          </a:prstGeom>
                        </pic:spPr>
                      </pic:pic>
                    </a:graphicData>
                  </a:graphic>
                </wp:inline>
              </w:drawing>
            </w:r>
          </w:p>
        </w:tc>
        <w:tc>
          <w:tcPr>
            <w:tcW w:w="4508" w:type="dxa"/>
          </w:tcPr>
          <w:p w14:paraId="4A7A117E" w14:textId="77777777" w:rsidR="00821405" w:rsidRPr="006E4C88" w:rsidRDefault="00821405" w:rsidP="00DE3760">
            <w:pPr>
              <w:pStyle w:val="BodyText"/>
            </w:pPr>
            <w:r w:rsidRPr="006E4C88">
              <w:rPr>
                <w:noProof/>
              </w:rPr>
              <w:drawing>
                <wp:inline distT="0" distB="0" distL="0" distR="0" wp14:anchorId="25BD8C63" wp14:editId="73BF7985">
                  <wp:extent cx="2874008" cy="1854200"/>
                  <wp:effectExtent l="0" t="0" r="3175" b="0"/>
                  <wp:docPr id="5" name="Picture 4" descr="State of science: mental workload in ergonomics">
                    <a:extLst xmlns:a="http://schemas.openxmlformats.org/drawingml/2006/main">
                      <a:ext uri="{FF2B5EF4-FFF2-40B4-BE49-F238E27FC236}">
                        <a16:creationId xmlns:a16="http://schemas.microsoft.com/office/drawing/2014/main" id="{3AE38200-3337-4F31-A864-25E772DB74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State of science: mental workload in ergonomics">
                            <a:extLst>
                              <a:ext uri="{FF2B5EF4-FFF2-40B4-BE49-F238E27FC236}">
                                <a16:creationId xmlns:a16="http://schemas.microsoft.com/office/drawing/2014/main" id="{3AE38200-3337-4F31-A864-25E772DB74EF}"/>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2834" cy="1872798"/>
                          </a:xfrm>
                          <a:prstGeom prst="rect">
                            <a:avLst/>
                          </a:prstGeom>
                          <a:noFill/>
                        </pic:spPr>
                      </pic:pic>
                    </a:graphicData>
                  </a:graphic>
                </wp:inline>
              </w:drawing>
            </w:r>
          </w:p>
          <w:p w14:paraId="47FDEE02" w14:textId="77777777" w:rsidR="00821405" w:rsidRPr="006E4C88" w:rsidRDefault="00821405" w:rsidP="00DE3760">
            <w:pPr>
              <w:pStyle w:val="BodyText"/>
            </w:pPr>
          </w:p>
          <w:p w14:paraId="73A09765" w14:textId="77777777" w:rsidR="00821405" w:rsidRPr="00A23540" w:rsidRDefault="00821405" w:rsidP="00DE3760">
            <w:pPr>
              <w:pStyle w:val="BodyText"/>
            </w:pPr>
          </w:p>
          <w:p w14:paraId="72DCE145" w14:textId="77777777" w:rsidR="00821405" w:rsidRPr="00A23540" w:rsidRDefault="00821405" w:rsidP="00DE3760">
            <w:pPr>
              <w:pStyle w:val="BodyText"/>
            </w:pPr>
          </w:p>
          <w:p w14:paraId="1EBAFD58" w14:textId="77777777" w:rsidR="00821405" w:rsidRPr="005B00D0" w:rsidRDefault="00821405" w:rsidP="00DE3760">
            <w:pPr>
              <w:pStyle w:val="BodyText"/>
            </w:pPr>
          </w:p>
          <w:p w14:paraId="0695D464" w14:textId="77777777" w:rsidR="00821405" w:rsidRPr="002F637A" w:rsidRDefault="00821405" w:rsidP="00DE3760">
            <w:pPr>
              <w:pStyle w:val="BodyText"/>
            </w:pPr>
          </w:p>
        </w:tc>
      </w:tr>
      <w:tr w:rsidR="00821405" w:rsidRPr="002F637A" w14:paraId="36627F52" w14:textId="77777777" w:rsidTr="00DE3760">
        <w:tc>
          <w:tcPr>
            <w:tcW w:w="9016" w:type="dxa"/>
            <w:gridSpan w:val="2"/>
          </w:tcPr>
          <w:p w14:paraId="059814CC" w14:textId="204EBE89" w:rsidR="00821405" w:rsidRPr="002F637A" w:rsidRDefault="00821405" w:rsidP="00DE3760">
            <w:pPr>
              <w:pStyle w:val="BodyText"/>
            </w:pPr>
            <w:bookmarkStart w:id="15" w:name="_Toc99542995"/>
            <w:bookmarkStart w:id="16" w:name="_Toc103332721"/>
            <w:r w:rsidRPr="007F2E69">
              <w:lastRenderedPageBreak/>
              <w:t xml:space="preserve">Figure </w:t>
            </w:r>
            <w:r w:rsidRPr="007F2E69">
              <w:fldChar w:fldCharType="begin"/>
            </w:r>
            <w:r w:rsidRPr="007F2E69">
              <w:instrText xml:space="preserve"> SEQ Figure \* ARABIC </w:instrText>
            </w:r>
            <w:r w:rsidRPr="007F2E69">
              <w:fldChar w:fldCharType="separate"/>
            </w:r>
            <w:r w:rsidRPr="007F2E69">
              <w:t>1</w:t>
            </w:r>
            <w:r w:rsidRPr="007F2E69">
              <w:fldChar w:fldCharType="end"/>
            </w:r>
            <w:r w:rsidRPr="007F2E69">
              <w:t xml:space="preserve">. </w:t>
            </w:r>
            <w:r w:rsidRPr="002F637A">
              <w:t xml:space="preserve">Relation among stress, </w:t>
            </w:r>
            <w:r w:rsidR="00095DBD" w:rsidRPr="002F637A">
              <w:t>workload,</w:t>
            </w:r>
            <w:r w:rsidRPr="002F637A">
              <w:t xml:space="preserve"> and performance</w:t>
            </w:r>
            <w:bookmarkEnd w:id="15"/>
            <w:bookmarkEnd w:id="16"/>
          </w:p>
        </w:tc>
      </w:tr>
      <w:tr w:rsidR="00821405" w:rsidRPr="002F637A" w14:paraId="5A01A6A0" w14:textId="77777777" w:rsidTr="00DE3760">
        <w:tc>
          <w:tcPr>
            <w:tcW w:w="9016" w:type="dxa"/>
            <w:gridSpan w:val="2"/>
          </w:tcPr>
          <w:p w14:paraId="7BBB42E1" w14:textId="77777777" w:rsidR="00821405" w:rsidRPr="006E4C88" w:rsidRDefault="00821405" w:rsidP="00DE3760">
            <w:pPr>
              <w:pStyle w:val="BodyText"/>
            </w:pPr>
            <w:r w:rsidRPr="006E4C88">
              <w:rPr>
                <w:noProof/>
              </w:rPr>
              <w:drawing>
                <wp:inline distT="0" distB="0" distL="0" distR="0" wp14:anchorId="13A5CF11" wp14:editId="5B057A71">
                  <wp:extent cx="4283075" cy="2496644"/>
                  <wp:effectExtent l="0" t="0" r="317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screen">
                            <a:extLst>
                              <a:ext uri="{28A0092B-C50C-407E-A947-70E740481C1C}">
                                <a14:useLocalDpi xmlns:a14="http://schemas.microsoft.com/office/drawing/2010/main" val="0"/>
                              </a:ext>
                            </a:extLst>
                          </a:blip>
                          <a:srcRect/>
                          <a:stretch>
                            <a:fillRect/>
                          </a:stretch>
                        </pic:blipFill>
                        <pic:spPr bwMode="auto">
                          <a:xfrm>
                            <a:off x="0" y="0"/>
                            <a:ext cx="4289135" cy="2500177"/>
                          </a:xfrm>
                          <a:prstGeom prst="rect">
                            <a:avLst/>
                          </a:prstGeom>
                          <a:noFill/>
                        </pic:spPr>
                      </pic:pic>
                    </a:graphicData>
                  </a:graphic>
                </wp:inline>
              </w:drawing>
            </w:r>
          </w:p>
        </w:tc>
      </w:tr>
      <w:tr w:rsidR="00821405" w:rsidRPr="002F637A" w14:paraId="2DCEBA9C" w14:textId="77777777" w:rsidTr="00DE3760">
        <w:tc>
          <w:tcPr>
            <w:tcW w:w="9016" w:type="dxa"/>
            <w:gridSpan w:val="2"/>
          </w:tcPr>
          <w:p w14:paraId="0C622FC1" w14:textId="77777777" w:rsidR="00821405" w:rsidRPr="002F637A" w:rsidRDefault="00821405" w:rsidP="00DE3760">
            <w:pPr>
              <w:pStyle w:val="BodyText"/>
            </w:pPr>
            <w:bookmarkStart w:id="17" w:name="_Toc99542996"/>
            <w:bookmarkStart w:id="18" w:name="_Toc103332722"/>
            <w:r w:rsidRPr="007F2E69">
              <w:t xml:space="preserve">Figure </w:t>
            </w:r>
            <w:r w:rsidRPr="007F2E69">
              <w:fldChar w:fldCharType="begin"/>
            </w:r>
            <w:r w:rsidRPr="007F2E69">
              <w:instrText xml:space="preserve"> SEQ Figure \* ARABIC </w:instrText>
            </w:r>
            <w:r w:rsidRPr="007F2E69">
              <w:fldChar w:fldCharType="separate"/>
            </w:r>
            <w:r>
              <w:rPr>
                <w:noProof/>
              </w:rPr>
              <w:t>2</w:t>
            </w:r>
            <w:r w:rsidRPr="007F2E69">
              <w:fldChar w:fldCharType="end"/>
            </w:r>
            <w:r w:rsidRPr="007F2E69">
              <w:t xml:space="preserve">. </w:t>
            </w:r>
            <w:r w:rsidRPr="002F637A">
              <w:t>Graphical representation of cognitive spare capacity</w:t>
            </w:r>
            <w:bookmarkEnd w:id="17"/>
            <w:bookmarkEnd w:id="18"/>
          </w:p>
        </w:tc>
      </w:tr>
    </w:tbl>
    <w:p w14:paraId="6ED9AEB0" w14:textId="77777777" w:rsidR="00821405" w:rsidRPr="002F637A" w:rsidRDefault="00821405" w:rsidP="00821405">
      <w:pPr>
        <w:pStyle w:val="BodyText"/>
      </w:pPr>
    </w:p>
    <w:p w14:paraId="300F82BC" w14:textId="77777777" w:rsidR="00821405" w:rsidRDefault="00821405" w:rsidP="00821405">
      <w:pPr>
        <w:pStyle w:val="BodyText"/>
      </w:pPr>
    </w:p>
    <w:p w14:paraId="5E17363E" w14:textId="77777777" w:rsidR="00821405" w:rsidRDefault="00821405" w:rsidP="00821405">
      <w:pPr>
        <w:pStyle w:val="Heading2"/>
        <w:numPr>
          <w:ilvl w:val="1"/>
          <w:numId w:val="20"/>
        </w:numPr>
      </w:pPr>
      <w:bookmarkStart w:id="19" w:name="_Toc99543107"/>
      <w:bookmarkStart w:id="20" w:name="_Toc103332732"/>
      <w:r>
        <w:t>Electroencephalography – EEG</w:t>
      </w:r>
      <w:bookmarkEnd w:id="19"/>
      <w:bookmarkEnd w:id="20"/>
    </w:p>
    <w:p w14:paraId="3B88E175" w14:textId="77777777" w:rsidR="00821405" w:rsidRDefault="00821405" w:rsidP="00821405">
      <w:pPr>
        <w:pStyle w:val="BodyText"/>
      </w:pPr>
      <w:r w:rsidRPr="037637E9">
        <w:t>The EEG is a recording of the brain’s electrical activity made from electrodes over the surface of the scalp (i.e., surface EEG) or from needle electrodes inserted into the brain (intracortical EEG). One of the first ever reports about EEG was by Richard Caton (1875</w:t>
      </w:r>
      <w:r>
        <w:fldChar w:fldCharType="begin" w:fldLock="1"/>
      </w:r>
      <w:r>
        <w:instrText>ADDIN CSL_CITATION {"citationItems":[{"id":"ITEM-1","itemData":{"URL":"https://echo.mpiwg-berlin.mpg.de/ECHOdocuView?url=/permanent/vlp/lit27690/index.meta","accessed":{"date-parts":[["2022","1","26"]]},"id":"ITEM-1","issued":{"date-parts":[["0"]]},"title":"Caton, Richard - The electric currents of the brain","type":"webpage"},"uris":["http://www.mendeley.com/documents/?uuid=5663f2f5-caeb-3202-9c86-c8acb9a69b3c"]}],"mendeley":{"formattedCitation":"[2]","plainTextFormattedCitation":"[2]","previouslyFormattedCitation":"[2]"},"properties":{"noteIndex":0},"schema":"https://github.com/citation-style-language/schema/raw/master/csl-citation.json"}</w:instrText>
      </w:r>
      <w:r>
        <w:fldChar w:fldCharType="separate"/>
      </w:r>
      <w:r w:rsidRPr="00EE1C5A">
        <w:rPr>
          <w:noProof/>
        </w:rPr>
        <w:t>[2]</w:t>
      </w:r>
      <w:r>
        <w:fldChar w:fldCharType="end"/>
      </w:r>
      <w:r w:rsidRPr="037637E9">
        <w:t>), who recorded the EEG oscillations from monkeys and rabbits. In 1929, Hans Berger</w:t>
      </w:r>
      <w:r>
        <w:t xml:space="preserve"> </w:t>
      </w:r>
      <w:r>
        <w:fldChar w:fldCharType="begin" w:fldLock="1"/>
      </w:r>
      <w:r>
        <w:instrText>ADDIN CSL_CITATION {"citationItems":[{"id":"ITEM-1","itemData":{"DOI":"10.1136/jnnp.74.1.9","ISSN":", 1468-330X","author":[{"dropping-particle":"","family":"Haas","given":"L. F.","non-dropping-particle":"","parse-names":false,"suffix":""}],"container-title":"Journal of Neurology, Neurosurgery &amp; Psychiatry","id":"ITEM-1","issue":"1","issued":{"date-parts":[["2003","1"]]},"language":"en","page":"9-9","title":"Hans Berger (1873–1941), Richard Caton (1842–1926), and electroencephalography","type":"article-journal","volume":"74"},"uris":["http://www.mendeley.com/documents/?uuid=845d2b10-5127-484a-84d3-5b0c0959bd42"]}],"mendeley":{"formattedCitation":"[3]","plainTextFormattedCitation":"[3]","previouslyFormattedCitation":"[3]"},"properties":{"noteIndex":0},"schema":"https://github.com/citation-style-language/schema/raw/master/csl-citation.json"}</w:instrText>
      </w:r>
      <w:r>
        <w:fldChar w:fldCharType="separate"/>
      </w:r>
      <w:r w:rsidRPr="00EE1C5A">
        <w:rPr>
          <w:noProof/>
        </w:rPr>
        <w:t>[3]</w:t>
      </w:r>
      <w:r>
        <w:fldChar w:fldCharType="end"/>
      </w:r>
      <w:r w:rsidRPr="037637E9">
        <w:t xml:space="preserve"> reported the first reliable recording of the EEG from a human scalp and a first categorization of EEG oscillation into alpha (8-13 Hz) and beta waves (14-30 Hz). Here, we refer EEG only to the signal measured from the head surface. Generally, the EEG recordings could be categorized into two types: the spontaneous activity and the evoked potentials. Spontaneous activity is often referred to the unprovoked occurrence of brain activity, in terms of the absence of an identifiable stimulus, with or without behaviour manifestation. The bandwidth of this signal is from under 1 Hz to over 100 Hz. The evoked potentials are time-locked components in the EEG that arise in response to a stimulus, which may be electric, visual, auditory, tactile, etc. Such signals are often evaluated by averaging several trials to improve the signal-to-noise ratio. EEG is measured using scalp electrodes, which record the difference in the electric potential between an electrode with an active neural signal and an electrode placed over a supposedly inactive region that serves as a reference (e.g., earlobes). These recordings are the resultant field potentials containing many active neurons. However, the action potential in axons is revealed to contribute little to the scalp surface records, as they are asynchronous while the axons run in many different directions. Surface records are thought to be the net effect of local postsynaptic potentials of the cortical cells. Mostly, the EEG measures the currents that flow during synaptic excitations of the dendrites of many pyramidal </w:t>
      </w:r>
      <w:r w:rsidRPr="037637E9">
        <w:lastRenderedPageBreak/>
        <w:t xml:space="preserve">neurons, a type of neuron found in areas of the brain including the cerebral cortex </w:t>
      </w:r>
      <w:r>
        <w:fldChar w:fldCharType="begin" w:fldLock="1"/>
      </w:r>
      <w:r>
        <w:instrText>ADDIN CSL_CITATION {"citationItems":[{"id":"ITEM-1","itemData":{"URL":"http://www.scribd.com/doc/47884335/FUNDAMENTALS-OF-EEG-MEASUREMENT","abstract":"Scribd is the world's largest social reading and publishing site.","accessed":{"date-parts":[["2014","1","8"]]},"author":[{"dropping-particle":"","family":"Teplan","given":"M","non-dropping-particle":"","parse-names":false,"suffix":""}],"id":"ITEM-1","issued":{"date-parts":[["2002"]]},"title":"Fundamentals of EEG measurement","type":"webpage"},"uris":["http://www.mendeley.com/documents/?uuid=af0752eb-210e-4e1b-9615-8affa8630009"]}],"mendeley":{"formattedCitation":"[4]","plainTextFormattedCitation":"[4]","previouslyFormattedCitation":"[4]"},"properties":{"noteIndex":0},"schema":"https://github.com/citation-style-language/schema/raw/master/csl-citation.json"}</w:instrText>
      </w:r>
      <w:r>
        <w:fldChar w:fldCharType="separate"/>
      </w:r>
      <w:r w:rsidRPr="00EE1C5A">
        <w:rPr>
          <w:noProof/>
        </w:rPr>
        <w:t>[4]</w:t>
      </w:r>
      <w:r>
        <w:fldChar w:fldCharType="end"/>
      </w:r>
      <w:r w:rsidRPr="037637E9">
        <w:t xml:space="preserve">. Although there are various EEG recording systems in the market, such systems conventionally include four parts: electrodes with conductive gel, amplifiers with filters, A/D converter, and recording device. Electrodes are used to read the signal from the scalp; amplifiers increase the magnitude of the microvolt signals into a range which can be digitalized accurately; the converter changes the signals from analog to digital form; and the recorder system (normally personal computer) stores and displays the obtained data </w:t>
      </w:r>
      <w:r>
        <w:fldChar w:fldCharType="begin" w:fldLock="1"/>
      </w:r>
      <w:r>
        <w:instrText>ADDIN CSL_CITATION {"citationItems":[{"id":"ITEM-1","itemData":{"URL":"http://www.scribd.com/doc/47884335/FUNDAMENTALS-OF-EEG-MEASUREMENT","abstract":"Scribd is the world's largest social reading and publishing site.","accessed":{"date-parts":[["2014","1","8"]]},"author":[{"dropping-particle":"","family":"Teplan","given":"M","non-dropping-particle":"","parse-names":false,"suffix":""}],"id":"ITEM-1","issued":{"date-parts":[["2002"]]},"title":"Fundamentals of EEG measurement","type":"webpage"},"uris":["http://www.mendeley.com/documents/?uuid=af0752eb-210e-4e1b-9615-8affa8630009"]}],"mendeley":{"formattedCitation":"[4]","plainTextFormattedCitation":"[4]","previouslyFormattedCitation":"[4]"},"properties":{"noteIndex":0},"schema":"https://github.com/citation-style-language/schema/raw/master/csl-citation.json"}</w:instrText>
      </w:r>
      <w:r>
        <w:fldChar w:fldCharType="separate"/>
      </w:r>
      <w:r w:rsidRPr="00EE1C5A">
        <w:rPr>
          <w:noProof/>
        </w:rPr>
        <w:t>[4]</w:t>
      </w:r>
      <w:r>
        <w:fldChar w:fldCharType="end"/>
      </w:r>
      <w:r w:rsidRPr="037637E9">
        <w:t xml:space="preserve">. Additionally, a 10-20 system </w:t>
      </w:r>
      <w:r w:rsidRPr="006D5913">
        <w:t xml:space="preserve">(Figure </w:t>
      </w:r>
      <w:r>
        <w:t>3</w:t>
      </w:r>
      <w:r w:rsidRPr="006D5913">
        <w:t>)</w:t>
      </w:r>
      <w:r w:rsidRPr="037637E9">
        <w:t xml:space="preserve"> EEG measurement has been adopted by the International Federation in Electroencephalography and Clinical Neurophysiology </w:t>
      </w:r>
      <w:r>
        <w:fldChar w:fldCharType="begin" w:fldLock="1"/>
      </w:r>
      <w:r>
        <w:instrText>ADDIN CSL_CITATION {"citationItems":[{"id":"ITEM-1","itemData":{"author":[{"dropping-particle":"","family":"Jasper","given":"HH","non-dropping-particle":"","parse-names":false,"suffix":""}],"container-title":"Electroencephalography and Clinical Neurophysiology","id":"ITEM-1","issued":{"date-parts":[["1958"]]},"page":"371-375","title":"The ten twenty electrode system of the international federation","type":"article-journal","volume":"10"},"uris":["http://www.mendeley.com/documents/?uuid=d93cfcd8-53af-4bb9-ac9b-49caf30e5681"]}],"mendeley":{"formattedCitation":"[5]","plainTextFormattedCitation":"[5]","previouslyFormattedCitation":"[5]"},"properties":{"noteIndex":0},"schema":"https://github.com/citation-style-language/schema/raw/master/csl-citation.json"}</w:instrText>
      </w:r>
      <w:r>
        <w:fldChar w:fldCharType="separate"/>
      </w:r>
      <w:r w:rsidRPr="00EE1C5A">
        <w:rPr>
          <w:noProof/>
        </w:rPr>
        <w:t>[5]</w:t>
      </w:r>
      <w:r>
        <w:fldChar w:fldCharType="end"/>
      </w:r>
      <w:r w:rsidRPr="037637E9">
        <w:t xml:space="preserve">. Such a system provides the standardized physical placement of electrodes on the scalp. The first part of derivation’s name indexes the array’s row—from the front of the head: Fp, F, C, P, and O. The second part is formed from numbers even on the left and odd on the right side, in the centre ‘‘z’’ or ‘‘0’’.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821405" w14:paraId="243C7985" w14:textId="77777777" w:rsidTr="00DE3760">
        <w:tc>
          <w:tcPr>
            <w:tcW w:w="9060" w:type="dxa"/>
          </w:tcPr>
          <w:p w14:paraId="0D3E25CA" w14:textId="77777777" w:rsidR="00821405" w:rsidRDefault="00821405" w:rsidP="00DE3760">
            <w:pPr>
              <w:pStyle w:val="BodyText"/>
            </w:pPr>
            <w:r>
              <w:rPr>
                <w:noProof/>
              </w:rPr>
              <w:drawing>
                <wp:inline distT="0" distB="0" distL="0" distR="0" wp14:anchorId="7C3734E3" wp14:editId="6CF4E19F">
                  <wp:extent cx="5629275" cy="5481561"/>
                  <wp:effectExtent l="0" t="0" r="0" b="508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pic:nvPicPr>
                        <pic:blipFill>
                          <a:blip r:embed="rId16" cstate="screen">
                            <a:extLst>
                              <a:ext uri="{28A0092B-C50C-407E-A947-70E740481C1C}">
                                <a14:useLocalDpi xmlns:a14="http://schemas.microsoft.com/office/drawing/2010/main" val="0"/>
                              </a:ext>
                            </a:extLst>
                          </a:blip>
                          <a:stretch>
                            <a:fillRect/>
                          </a:stretch>
                        </pic:blipFill>
                        <pic:spPr>
                          <a:xfrm>
                            <a:off x="0" y="0"/>
                            <a:ext cx="5640111" cy="5492112"/>
                          </a:xfrm>
                          <a:prstGeom prst="rect">
                            <a:avLst/>
                          </a:prstGeom>
                        </pic:spPr>
                      </pic:pic>
                    </a:graphicData>
                  </a:graphic>
                </wp:inline>
              </w:drawing>
            </w:r>
          </w:p>
        </w:tc>
      </w:tr>
      <w:tr w:rsidR="00821405" w14:paraId="320B89C2" w14:textId="77777777" w:rsidTr="00DE3760">
        <w:tc>
          <w:tcPr>
            <w:tcW w:w="9060" w:type="dxa"/>
          </w:tcPr>
          <w:p w14:paraId="3F0EB391" w14:textId="77777777" w:rsidR="00821405" w:rsidRDefault="00821405" w:rsidP="00DE3760">
            <w:pPr>
              <w:pStyle w:val="BodyText"/>
            </w:pPr>
            <w:bookmarkStart w:id="21" w:name="_Ref76460918"/>
            <w:bookmarkStart w:id="22" w:name="_Toc76554301"/>
            <w:bookmarkStart w:id="23" w:name="_Toc99542997"/>
            <w:bookmarkStart w:id="24" w:name="_Toc103332723"/>
            <w:r w:rsidRPr="005821F8">
              <w:t xml:space="preserve">Figure </w:t>
            </w:r>
            <w:r w:rsidRPr="005821F8">
              <w:fldChar w:fldCharType="begin"/>
            </w:r>
            <w:r w:rsidRPr="005821F8">
              <w:instrText xml:space="preserve"> SEQ Figure \* ARABIC </w:instrText>
            </w:r>
            <w:r w:rsidRPr="005821F8">
              <w:fldChar w:fldCharType="separate"/>
            </w:r>
            <w:r>
              <w:rPr>
                <w:noProof/>
              </w:rPr>
              <w:t>3</w:t>
            </w:r>
            <w:r w:rsidRPr="005821F8">
              <w:fldChar w:fldCharType="end"/>
            </w:r>
            <w:bookmarkEnd w:id="21"/>
            <w:r w:rsidRPr="005821F8">
              <w:t xml:space="preserve">. </w:t>
            </w:r>
            <w:bookmarkEnd w:id="22"/>
            <w:r w:rsidRPr="005821F8">
              <w:t>10-20 system for the standardized electrode placement</w:t>
            </w:r>
            <w:bookmarkEnd w:id="23"/>
            <w:bookmarkEnd w:id="24"/>
            <w:r w:rsidRPr="005821F8">
              <w:t xml:space="preserve"> </w:t>
            </w:r>
          </w:p>
        </w:tc>
      </w:tr>
    </w:tbl>
    <w:p w14:paraId="7FB0A746" w14:textId="77777777" w:rsidR="00821405" w:rsidRDefault="00821405" w:rsidP="00821405">
      <w:pPr>
        <w:pStyle w:val="BodyText"/>
      </w:pPr>
    </w:p>
    <w:p w14:paraId="370E136E" w14:textId="77777777" w:rsidR="00821405" w:rsidRDefault="00821405" w:rsidP="00821405">
      <w:pPr>
        <w:pStyle w:val="BodyText"/>
      </w:pPr>
      <w:r w:rsidRPr="00D14899">
        <w:lastRenderedPageBreak/>
        <w:t>Two basic approaches are commonly used for the EEG analysis: (i) the</w:t>
      </w:r>
      <w:r>
        <w:t xml:space="preserve"> </w:t>
      </w:r>
      <w:r w:rsidRPr="00D14899">
        <w:t>analysis of evoked potentials (EPs); and (ii) the power spectrum</w:t>
      </w:r>
      <w:r>
        <w:t xml:space="preserve"> </w:t>
      </w:r>
      <w:r w:rsidRPr="00D14899">
        <w:t>analysis (EEG rhythms). These two methods have been applied in</w:t>
      </w:r>
      <w:r>
        <w:t xml:space="preserve"> </w:t>
      </w:r>
      <w:r w:rsidRPr="00D14899">
        <w:t>various experimental or field research into human cognitive</w:t>
      </w:r>
      <w:r>
        <w:t xml:space="preserve"> </w:t>
      </w:r>
      <w:r w:rsidRPr="00D14899">
        <w:t>activities</w:t>
      </w:r>
      <w:r>
        <w:t xml:space="preserve">. </w:t>
      </w:r>
    </w:p>
    <w:p w14:paraId="320C2520" w14:textId="7519EC21" w:rsidR="00821405" w:rsidRDefault="00095DBD" w:rsidP="00821405">
      <w:pPr>
        <w:pStyle w:val="BodyText"/>
      </w:pPr>
      <w:r>
        <w:t>For</w:t>
      </w:r>
      <w:r w:rsidR="00821405">
        <w:t xml:space="preserve"> ARTIMATION project, the second kind of EEG analysis (i.e., </w:t>
      </w:r>
      <w:r w:rsidR="00821405" w:rsidRPr="00D14899">
        <w:t>power spectrum</w:t>
      </w:r>
      <w:r w:rsidR="00821405">
        <w:t xml:space="preserve"> </w:t>
      </w:r>
      <w:r w:rsidR="00821405" w:rsidRPr="00D14899">
        <w:t>analysis</w:t>
      </w:r>
      <w:r w:rsidR="00821405">
        <w:t xml:space="preserve">) has been employed. </w:t>
      </w:r>
    </w:p>
    <w:p w14:paraId="16F8FF04" w14:textId="77777777" w:rsidR="00821405" w:rsidRDefault="00821405" w:rsidP="00821405">
      <w:pPr>
        <w:pStyle w:val="Heading3"/>
        <w:numPr>
          <w:ilvl w:val="2"/>
          <w:numId w:val="20"/>
        </w:numPr>
      </w:pPr>
      <w:r>
        <w:t>EEG rhythms analyses</w:t>
      </w:r>
    </w:p>
    <w:p w14:paraId="695BED61" w14:textId="77777777" w:rsidR="00821405" w:rsidRDefault="00821405" w:rsidP="00821405">
      <w:pPr>
        <w:pStyle w:val="BodyText"/>
      </w:pPr>
      <w:r>
        <w:t>The oscillatory activity of the spontaneous EEG is typically categorized into five different frequency bands: delta (0-4 Hz), theta (4-7Hz), alpha (8- 12Hz), beta (12-30Hz) and gamma (30-100 Hz), as shown in Figure 4. These frequency bands are suggested to be a result of different cognitive functions.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21405" w14:paraId="725E9475" w14:textId="77777777" w:rsidTr="00DE3760">
        <w:tc>
          <w:tcPr>
            <w:tcW w:w="9060" w:type="dxa"/>
          </w:tcPr>
          <w:p w14:paraId="06AE9389" w14:textId="77777777" w:rsidR="00821405" w:rsidRDefault="00821405" w:rsidP="00DE3760">
            <w:pPr>
              <w:pStyle w:val="BodyText"/>
              <w:jc w:val="center"/>
            </w:pPr>
            <w:r>
              <w:rPr>
                <w:noProof/>
              </w:rPr>
              <w:lastRenderedPageBreak/>
              <w:drawing>
                <wp:inline distT="0" distB="0" distL="0" distR="0" wp14:anchorId="09808607" wp14:editId="22A2785C">
                  <wp:extent cx="4502150" cy="6176930"/>
                  <wp:effectExtent l="0" t="0" r="0" b="0"/>
                  <wp:docPr id="7" name="Immagine 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10;&#10;Descrizione generata automaticamente"/>
                          <pic:cNvPicPr/>
                        </pic:nvPicPr>
                        <pic:blipFill>
                          <a:blip r:embed="rId17"/>
                          <a:stretch>
                            <a:fillRect/>
                          </a:stretch>
                        </pic:blipFill>
                        <pic:spPr>
                          <a:xfrm>
                            <a:off x="0" y="0"/>
                            <a:ext cx="4511149" cy="6189277"/>
                          </a:xfrm>
                          <a:prstGeom prst="rect">
                            <a:avLst/>
                          </a:prstGeom>
                        </pic:spPr>
                      </pic:pic>
                    </a:graphicData>
                  </a:graphic>
                </wp:inline>
              </w:drawing>
            </w:r>
          </w:p>
        </w:tc>
      </w:tr>
      <w:tr w:rsidR="00821405" w:rsidRPr="00E62F53" w14:paraId="054F579C" w14:textId="77777777" w:rsidTr="00DE3760">
        <w:tc>
          <w:tcPr>
            <w:tcW w:w="9060" w:type="dxa"/>
          </w:tcPr>
          <w:p w14:paraId="3172345B" w14:textId="77777777" w:rsidR="00821405" w:rsidRPr="006D354F" w:rsidRDefault="00821405" w:rsidP="00DE3760">
            <w:pPr>
              <w:pStyle w:val="BodyText"/>
              <w:rPr>
                <w:lang w:val="sv-SE"/>
              </w:rPr>
            </w:pPr>
            <w:bookmarkStart w:id="25" w:name="_Toc99542998"/>
            <w:bookmarkStart w:id="26" w:name="_Toc103332724"/>
            <w:r w:rsidRPr="005821F8">
              <w:t xml:space="preserve">Figure </w:t>
            </w:r>
            <w:r w:rsidRPr="005821F8">
              <w:fldChar w:fldCharType="begin"/>
            </w:r>
            <w:r w:rsidRPr="005821F8">
              <w:instrText xml:space="preserve"> SEQ Figure \* ARABIC </w:instrText>
            </w:r>
            <w:r w:rsidRPr="005821F8">
              <w:fldChar w:fldCharType="separate"/>
            </w:r>
            <w:r>
              <w:rPr>
                <w:noProof/>
              </w:rPr>
              <w:t>4</w:t>
            </w:r>
            <w:r w:rsidRPr="005821F8">
              <w:fldChar w:fldCharType="end"/>
            </w:r>
            <w:r w:rsidRPr="005821F8">
              <w:t xml:space="preserve">. </w:t>
            </w:r>
            <w:r w:rsidRPr="00C66DF3">
              <w:t>Comparison of EEG bands over one second of</w:t>
            </w:r>
            <w:r>
              <w:t xml:space="preserve"> </w:t>
            </w:r>
            <w:r w:rsidRPr="00C66DF3">
              <w:t xml:space="preserve">activity. </w:t>
            </w:r>
            <w:r w:rsidRPr="006D354F">
              <w:rPr>
                <w:lang w:val="sv-SE"/>
              </w:rPr>
              <w:t>Gamma (30-100Hz), Beta (12-30Hz), Alpha (8-12Hz), Theta (4-7Hz), and Delta (0-4Hz).</w:t>
            </w:r>
            <w:bookmarkEnd w:id="25"/>
            <w:bookmarkEnd w:id="26"/>
          </w:p>
        </w:tc>
      </w:tr>
    </w:tbl>
    <w:p w14:paraId="4FE0B943" w14:textId="77777777" w:rsidR="00821405" w:rsidRPr="006D354F" w:rsidRDefault="00821405" w:rsidP="00821405">
      <w:pPr>
        <w:pStyle w:val="BodyText"/>
        <w:rPr>
          <w:lang w:val="sv-SE"/>
        </w:rPr>
      </w:pPr>
    </w:p>
    <w:p w14:paraId="7B302504" w14:textId="77777777" w:rsidR="00821405" w:rsidRPr="00C6740C" w:rsidRDefault="00821405" w:rsidP="00821405">
      <w:pPr>
        <w:pStyle w:val="BodyText"/>
      </w:pPr>
      <w:r w:rsidRPr="00C6740C">
        <w:rPr>
          <w:i/>
          <w:iCs/>
        </w:rPr>
        <w:t>Delta activity</w:t>
      </w:r>
      <w:r w:rsidRPr="00C6740C">
        <w:t xml:space="preserve"> is characterized by high amplitude and low frequency. It is usually associated with the slow wave in the psychophysiology of sleep. It is suggested that it represents the onset of deep sleep phases in healthy adults </w:t>
      </w:r>
      <w:r>
        <w:fldChar w:fldCharType="begin" w:fldLock="1"/>
      </w:r>
      <w:r>
        <w:instrText>ADDIN CSL_CITATION {"citationItems":[{"id":"ITEM-1","itemData":{"author":[{"dropping-particle":"","family":"Kales","given":"Anthony","non-dropping-particle":"","parse-names":false,"suffix":""}],"id":"ITEM-1","issued":{"date-parts":[["1968"]]},"publisher":"United States Government Printing Office","publisher-place":"Washington  DC","title":"A manual of standardized terminology, techniques and scoring system for sleep stages of human subjects","type":"book"},"uris":["http://www.mendeley.com/documents/?uuid=14608d15-6f3e-3a53-b534-f6894ec45b3b"]}],"mendeley":{"formattedCitation":"[6]","plainTextFormattedCitation":"[6]","previouslyFormattedCitation":"[6]"},"properties":{"noteIndex":0},"schema":"https://github.com/citation-style-language/schema/raw/master/csl-citation.json"}</w:instrText>
      </w:r>
      <w:r>
        <w:fldChar w:fldCharType="separate"/>
      </w:r>
      <w:r w:rsidRPr="00EE1C5A">
        <w:rPr>
          <w:noProof/>
        </w:rPr>
        <w:t>[6]</w:t>
      </w:r>
      <w:r>
        <w:fldChar w:fldCharType="end"/>
      </w:r>
      <w:r w:rsidRPr="00C6740C">
        <w:t xml:space="preserve">. </w:t>
      </w:r>
      <w:r w:rsidRPr="00C6740C">
        <w:rPr>
          <w:i/>
          <w:iCs/>
        </w:rPr>
        <w:t>Theta rhythm</w:t>
      </w:r>
      <w:r w:rsidRPr="00C6740C">
        <w:t xml:space="preserve"> is generally linked to the hippocampus activity </w:t>
      </w:r>
      <w:r>
        <w:fldChar w:fldCharType="begin" w:fldLock="1"/>
      </w:r>
      <w:r>
        <w:instrText>ADDIN CSL_CITATION {"citationItems":[{"id":"ITEM-1","itemData":{"ISSN":"0896-6273","abstract":"Theta oscillations represent the \"on-line\" state of the hippocampus. The extracellular currents underlying theta waves are generated mainly by the entorhinal input, CA3 (Schaffer) collaterals, and voltage-dependent Ca(2+) currents in pyramidal cell dendrites. The rhythm is believed to be critical for temporal coding/decoding of active neuronal ensembles and the modification of synaptic weights. Nevertheless, numerous critical issues regarding both the generation of theta oscillations and their functional significance remain challenges for future research.","author":[{"dropping-particle":"","family":"Buzsáki","given":"György","non-dropping-particle":"","parse-names":false,"suffix":""}],"container-title":"Neuron","id":"ITEM-1","issue":"3","issued":{"date-parts":[["2002","1"]]},"language":"eng","page":"325-340","title":"Theta oscillations in the hippocampus","type":"article-journal","volume":"33"},"uris":["http://www.mendeley.com/documents/?uuid=d9145e5d-142e-4622-b102-4eef4d91bd47"]}],"mendeley":{"formattedCitation":"[7]","plainTextFormattedCitation":"[7]","previouslyFormattedCitation":"[7]"},"properties":{"noteIndex":0},"schema":"https://github.com/citation-style-language/schema/raw/master/csl-citation.json"}</w:instrText>
      </w:r>
      <w:r>
        <w:fldChar w:fldCharType="separate"/>
      </w:r>
      <w:r w:rsidRPr="00EE1C5A">
        <w:rPr>
          <w:noProof/>
        </w:rPr>
        <w:t>[7]</w:t>
      </w:r>
      <w:r>
        <w:fldChar w:fldCharType="end"/>
      </w:r>
      <w:r w:rsidRPr="00C6740C">
        <w:t xml:space="preserve"> as well as neocortex </w:t>
      </w:r>
      <w:r>
        <w:fldChar w:fldCharType="begin" w:fldLock="1"/>
      </w:r>
      <w:r>
        <w:instrText>ADDIN CSL_CITATION {"citationItems":[{"id":"ITEM-1","itemData":{"ISSN":"1529-2401","abstract":"Hippocampal theta waves recorded during rapid eye movement (REM) sleep are thought to play a critical role in memory consolidation in lower mammals, but previous attempts to detect similar theta oscillations in the human hippocampus have been unsuccessful. Using subdural and depth recordings from epileptic patients, we now report the first evidence of state-dependent hippocampal theta waves (4-7 Hz) in humans. Unlike the continuous theta in rodents, however, these oscillations were consistently observed during REM sleep in short (approximately 1 sec) bursts and during transitions to wake in longer epochs. Theta waves were also observed in the basal temporal lobe and frontal cortex during transitions from sleep to wake and in quiet wakefulness but not in REM, and they were not coherent with hippocampal theta oscillations. The absence of functional coupling between neocortex and hippocampus during theta periods indicates that multiple theta generators exist in the human brain, and that they are dynamically regulated by brain state. Gamma oscillations were also present during REM theta bursts, but the fluctuations in gamma power were not associated with theta phase, pointing out another significant difference between rodent and human theta properties. Together, these findings suggest that the generation mechanisms of theta oscillations in humans might have evolved from tonic to phasic in hippocampus during REM sleep and extended from hippocampus to cortex, where they appear in certain wakefulness-related states.","author":[{"dropping-particle":"","family":"Cantero","given":"Jose L","non-dropping-particle":"","parse-names":false,"suffix":""},{"dropping-particle":"","family":"Atienza","given":"Mercedes","non-dropping-particle":"","parse-names":false,"suffix":""},{"dropping-particle":"","family":"Stickgold","given":"Robert","non-dropping-particle":"","parse-names":false,"suffix":""},{"dropping-particle":"","family":"Kahana","given":"Michael J","non-dropping-particle":"","parse-names":false,"suffix":""},{"dropping-particle":"","family":"Madsen","given":"Joseph R","non-dropping-particle":"","parse-names":false,"suffix":""},{"dropping-particle":"","family":"Kocsis","given":"Bernat","non-dropping-particle":"","parse-names":false,"suffix":""}],"container-title":"The Journal of neuroscience: the official journal of the Society for Neuroscience","id":"ITEM-1","issue":"34","issued":{"date-parts":[["2003","11"]]},"language":"eng","page":"10897-10903","title":"Sleep-dependent theta oscillations in the human hippocampus and neocortex","type":"article-journal","volume":"23"},"uris":["http://www.mendeley.com/documents/?uuid=f8cbe75c-8267-4f74-8e1a-e091935d25e2"]}],"mendeley":{"formattedCitation":"[8]","plainTextFormattedCitation":"[8]","previouslyFormattedCitation":"[8]"},"properties":{"noteIndex":0},"schema":"https://github.com/citation-style-language/schema/raw/master/csl-citation.json"}</w:instrText>
      </w:r>
      <w:r>
        <w:fldChar w:fldCharType="separate"/>
      </w:r>
      <w:r w:rsidRPr="00EE1C5A">
        <w:rPr>
          <w:noProof/>
        </w:rPr>
        <w:t>[8]</w:t>
      </w:r>
      <w:r>
        <w:fldChar w:fldCharType="end"/>
      </w:r>
      <w:r w:rsidRPr="00C6740C">
        <w:t xml:space="preserve">. It is thought to be linked to deep relaxation or meditation </w:t>
      </w:r>
      <w:r>
        <w:fldChar w:fldCharType="begin" w:fldLock="1"/>
      </w:r>
      <w:r>
        <w:instrText>ADDIN CSL_CITATION {"citationItems":[{"id":"ITEM-1","itemData":{"ISSN":"0926-6410","abstract":"Frontal midline theta rhythm (Fm theta), recognized as distinct theta activity on EEG in the frontal midline area, reflects mental concentration as well as meditative state or relief from anxiety. Attentional network in anterior frontal lobes including anterior cingulate cortex is suspected to be the generator of this activity, and the regulative function of the frontal neural network over autonomic nervous system (ANS) during cognitive process is suggested. However no studies have examined peripheral autonomic activities during Fm theta induction, and interaction of central and peripheral mechanism associated with Fm theta remains unclear. In the present study, a standard procedure of Zen meditation requiring sustained attention and breath control was employed as the task to provoke Fm theta, and simultaneous EEG and ECG recordings were performed. For the subjects in which Fm theta activities were provoked (six men, six women, 48% of the total subjects), peripheral autonomic activities were evaluated during the appearance of Fm theta as well as during control periods. Successive inter-beat intervals were measured from the ECG, and a recently developed method of analysis by Toichi et al. (J. Auton. Nerv. Syst. 62 (1997) 79-84) based on heart rate variability was used to assess cardiac sympathetic and parasympathetic functions separately. Both sympathetic and parasympathetic indices were increased during the appearance of Fm theta compared with control periods. Theta band activities in the frontal area were correlated negatively with sympathetic activation. The results suggest a close relationship between cardiac autonomic function and activity of medial frontal neural circuitry.","author":[{"dropping-particle":"","family":"Kubota","given":"Y","non-dropping-particle":"","parse-names":false,"suffix":""},{"dropping-particle":"","family":"Sato","given":"W","non-dropping-particle":"","parse-names":false,"suffix":""},{"dropping-particle":"","family":"Toichi","given":"M","non-dropping-particle":"","parse-names":false,"suffix":""},{"dropping-particle":"","family":"Murai","given":"T","non-dropping-particle":"","parse-names":false,"suffix":""},{"dropping-particle":"","family":"Okada","given":"T","non-dropping-particle":"","parse-names":false,"suffix":""},{"dropping-particle":"","family":"Hayashi","given":"A","non-dropping-particle":"","parse-names":false,"suffix":""},{"dropping-particle":"","family":"Sengoku","given":"A","non-dropping-particle":"","parse-names":false,"suffix":""}],"container-title":"Brain research. Cognitive brain research","id":"ITEM-1","issue":"2","issued":{"date-parts":[["2001","4"]]},"language":"eng","page":"281-287","title":"Frontal midline theta rhythm is correlated with cardiac autonomic activities during the performance of an attention demanding meditation procedure","type":"article-journal","volume":"11"},"uris":["http://www.mendeley.com/documents/?uuid=11718d34-137f-473c-ba0c-679023eb617e"]}],"mendeley":{"formattedCitation":"[9]","plainTextFormattedCitation":"[9]","previouslyFormattedCitation":"[9]"},"properties":{"noteIndex":0},"schema":"https://github.com/citation-style-language/schema/raw/master/csl-citation.json"}</w:instrText>
      </w:r>
      <w:r>
        <w:fldChar w:fldCharType="separate"/>
      </w:r>
      <w:r w:rsidRPr="00EE1C5A">
        <w:rPr>
          <w:noProof/>
        </w:rPr>
        <w:t>[9]</w:t>
      </w:r>
      <w:r>
        <w:fldChar w:fldCharType="end"/>
      </w:r>
      <w:r>
        <w:t>,</w:t>
      </w:r>
      <w:r w:rsidRPr="00C6740C">
        <w:t xml:space="preserve"> and it has been observed during the transition between wake and sleep </w:t>
      </w:r>
      <w:r>
        <w:fldChar w:fldCharType="begin" w:fldLock="1"/>
      </w:r>
      <w:r>
        <w:instrText>ADDIN CSL_CITATION {"citationItems":[{"id":"ITEM-1","itemData":{"URL":"http://docserv.uni-duesseldorf.de/servlets/DocumentServlet?id=8318","accessed":{"date-parts":[["2014","1","8"]]},"author":[{"dropping-particle":"","family":"Hagemann","given":"Konrad","non-dropping-particle":"","parse-names":false,"suffix":""}],"id":"ITEM-1","issued":{"date-parts":[["2008"]]},"language":"eng","title":"The alpha band as an electrophysiological indicator for internalized attention and high mental workload in real traffic driving.","type":"webpage"},"uris":["http://www.mendeley.com/documents/?uuid=39787b3a-7dfb-4480-b8c1-133ab8ee8c5c"]}],"mendeley":{"formattedCitation":"[10]","plainTextFormattedCitation":"[10]","previouslyFormattedCitation":"[10]"},"properties":{"noteIndex":0},"schema":"https://github.com/citation-style-language/schema/raw/master/csl-citation.json"}</w:instrText>
      </w:r>
      <w:r>
        <w:fldChar w:fldCharType="separate"/>
      </w:r>
      <w:r w:rsidRPr="00EE1C5A">
        <w:rPr>
          <w:noProof/>
        </w:rPr>
        <w:t>[10]</w:t>
      </w:r>
      <w:r>
        <w:fldChar w:fldCharType="end"/>
      </w:r>
      <w:r w:rsidRPr="00C6740C">
        <w:t xml:space="preserve">. However, theta rhythms are suggested to be important for learning and memory functions </w:t>
      </w:r>
      <w:r>
        <w:fldChar w:fldCharType="begin" w:fldLock="1"/>
      </w:r>
      <w:r>
        <w:instrText>ADDIN CSL_CITATION {"citationItems":[{"id":"ITEM-1","itemData":{"DOI":"10.1002/hbm.20309","ISSN":"1065-9471","abstract":"Theta increases with workload and is associated with numerous processes including working memory, problem solving, encoding, or self monitoring. These processes, in turn, involve numerous structures of the brain. However, the relationship between regional brain activity and the occurrence of theta remains unclear. In the present study, simultaneous EEG-fMRI recordings were used to investigate the functional topography of theta. EEG-theta was enhanced by mental arithmetic-induced workload. For the EEG-constrained fMRI analysis, theta-reference time-series were extracted from the EEG, reflecting the strength of theta occurrence during the time course of the experiment. Theta occurrence was mainly associated with activation of the insular cortex, hippocampus, superior temporal areas, cingulate cortex, superior parietal, and frontal areas. Though observation of temporal and insular activation is in accord with the theory that theta specifically reflects encoding processes, the involvement of several other brain regions implies that surface-recorded theta represents comprehensive functional brain states rather than specific processes in the brain. The results provide further evidence for the concept that emergent theta band oscillations represent dynamic functional binding of widely distributed cortical assemblies, essential for cognitive processing. This binding process may form the source of surface-recorded EEG theta.","author":[{"dropping-particle":"","family":"Sammer","given":"Gebhard","non-dropping-particle":"","parse-names":false,"suffix":""},{"dropping-particle":"","family":"Blecker","given":"Carlo","non-dropping-particle":"","parse-names":false,"suffix":""},{"dropping-particle":"","family":"Gebhardt","given":"Helge","non-dropping-particle":"","parse-names":false,"suffix":""},{"dropping-particle":"","family":"Bischoff","given":"Matthias","non-dropping-particle":"","parse-names":false,"suffix":""},{"dropping-particle":"","family":"Stark","given":"Rudolf","non-dropping-particle":"","parse-names":false,"suffix":""},{"dropping-particle":"","family":"Morgen","given":"Katrin","non-dropping-particle":"","parse-names":false,"suffix":""},{"dropping-particle":"","family":"Vaitl","given":"Dieter","non-dropping-particle":"","parse-names":false,"suffix":""}],"container-title":"Human brain mapping","id":"ITEM-1","issue":"8","issued":{"date-parts":[["2007","8"]]},"language":"eng","page":"793-803","title":"Relationship between regional hemodynamic activity and simultaneously recorded EEG-theta associated with mental arithmetic-induced workload","type":"article-journal","volume":"28"},"uris":["http://www.mendeley.com/documents/?uuid=5b45c2e3-ed6c-44c0-a986-7ccb22bb17ff"]}],"mendeley":{"formattedCitation":"[11]","plainTextFormattedCitation":"[11]","previouslyFormattedCitation":"[11]"},"properties":{"noteIndex":0},"schema":"https://github.com/citation-style-language/schema/raw/master/csl-citation.json"}</w:instrText>
      </w:r>
      <w:r>
        <w:fldChar w:fldCharType="separate"/>
      </w:r>
      <w:r w:rsidRPr="00EE1C5A">
        <w:rPr>
          <w:noProof/>
        </w:rPr>
        <w:t>[11]</w:t>
      </w:r>
      <w:r>
        <w:fldChar w:fldCharType="end"/>
      </w:r>
      <w:r w:rsidRPr="00C6740C">
        <w:t xml:space="preserve">, encoding and retrieval </w:t>
      </w:r>
      <w:r>
        <w:fldChar w:fldCharType="begin" w:fldLock="1"/>
      </w:r>
      <w:r>
        <w:instrText>ADDIN CSL_CITATION {"citationItems":[{"id":"ITEM-1","itemData":{"DOI":"10.1016/J.TICS.2003.10.012","ISSN":"1364-6613","PMID":"14643372","abstract":"The central problem for cognitive neuroscience is to describe how cognitive processes arise from brain processes. This review summarizes the recent evidence that synchronous neural oscillations reveal much about the origin and nature of cognitive processes such as memory, attention and consciousness. Memory processes are most closely related to theta and gamma rhythms, whereas attention seems closely associated with alpha and gamma rhythms. Conscious awareness may arise from synchronous neural oscillations occurring globally throughout the brain rather than from the locally synchronous oscillations that occur when a sensory area encodes a stimulus. These associations between the dynamics of the brain and cognitive processes indicate progress towards a unified theory of brain and cognition.","author":[{"dropping-particle":"","family":"Ward","given":"Lawrence M.","non-dropping-particle":"","parse-names":false,"suffix":""}],"container-title":"Trends in cognitive sciences","id":"ITEM-1","issue":"12","issued":{"date-parts":[["2003"]]},"page":"553-559","publisher":"Trends Cogn Sci","title":"Synchronous neural oscillations and cognitive processes","type":"article-journal","volume":"7"},"uris":["http://www.mendeley.com/documents/?uuid=0725ab14-5d49-370a-aa3c-ed6f942527c2"]}],"mendeley":{"formattedCitation":"[12]","plainTextFormattedCitation":"[12]","previouslyFormattedCitation":"[12]"},"properties":{"noteIndex":0},"schema":"https://github.com/citation-style-language/schema/raw/master/csl-citation.json"}</w:instrText>
      </w:r>
      <w:r>
        <w:fldChar w:fldCharType="separate"/>
      </w:r>
      <w:r w:rsidRPr="00EE1C5A">
        <w:rPr>
          <w:noProof/>
        </w:rPr>
        <w:t>[12]</w:t>
      </w:r>
      <w:r>
        <w:fldChar w:fldCharType="end"/>
      </w:r>
      <w:r w:rsidRPr="00C6740C">
        <w:t xml:space="preserve">, which involve high concentration </w:t>
      </w:r>
      <w:r>
        <w:fldChar w:fldCharType="begin" w:fldLock="1"/>
      </w:r>
      <w:r>
        <w:instrText>ADDIN CSL_CITATION {"citationItems":[{"id":"ITEM-1","itemData":{"URL":"http://docserv.uni-duesseldorf.de/servlets/DocumentServlet?id=8318","accessed":{"date-parts":[["2014","1","8"]]},"author":[{"dropping-particle":"","family":"Hagemann","given":"Konrad","non-dropping-particle":"","parse-names":false,"suffix":""}],"id":"ITEM-1","issued":{"date-parts":[["2008"]]},"language":"eng","title":"The alpha band as an electrophysiological indicator for internalized attention and high mental workload in real traffic driving.","type":"webpage"},"uris":["http://www.mendeley.com/documents/?uuid=39787b3a-7dfb-4480-b8c1-133ab8ee8c5c"]}],"mendeley":{"formattedCitation":"[10]","plainTextFormattedCitation":"[10]","previouslyFormattedCitation":"[10]"},"properties":{"noteIndex":0},"schema":"https://github.com/citation-style-language/schema/raw/master/csl-citation.json"}</w:instrText>
      </w:r>
      <w:r>
        <w:fldChar w:fldCharType="separate"/>
      </w:r>
      <w:r w:rsidRPr="00EE1C5A">
        <w:rPr>
          <w:noProof/>
        </w:rPr>
        <w:t>[10]</w:t>
      </w:r>
      <w:r>
        <w:fldChar w:fldCharType="end"/>
      </w:r>
      <w:r w:rsidRPr="00C6740C">
        <w:t xml:space="preserve">. It has also been suggested that theta oscillations are associated with the </w:t>
      </w:r>
      <w:r w:rsidRPr="00C6740C">
        <w:lastRenderedPageBreak/>
        <w:t xml:space="preserve">attentional control mechanism in the anterior cingulated cortex </w:t>
      </w:r>
      <w:r>
        <w:fldChar w:fldCharType="begin" w:fldLock="1"/>
      </w:r>
      <w:r>
        <w:instrText>ADDIN CSL_CITATION {"citationItems":[{"id":"ITEM-1","itemData":{"ISSN":"0018-7208","abstract":"Electroencephalographic (EEG) recordings were made while 16 participants performed versions of a personal-computer-based flight simulation task of low, moderate, or high difficulty. As task difficulty increased, frontal midline theta EEG activity increased and alpha band activity decreased. A participant-specific function that combined multiple EEG features to create a single load index was derived from a sample of each participant's data and then applied to new test data from that participant. Index values were computed for every 4 s of task data. Across participants, mean task load index values increased systematically with increasing task difficulty and differed significantly between the different task versions. Actual or potential applications of this research include the use of multivariate EEG-based methods to monitor task loading during naturalistic computer-based work.","author":[{"dropping-particle":"","family":"Smith","given":"M E","non-dropping-particle":"","parse-names":false,"suffix":""},{"dropping-particle":"","family":"Gevins","given":"A","non-dropping-particle":"","parse-names":false,"suffix":""},{"dropping-particle":"","family":"Brown","given":"H","non-dropping-particle":"","parse-names":false,"suffix":""},{"dropping-particle":"","family":"Karnik","given":"A","non-dropping-particle":"","parse-names":false,"suffix":""},{"dropping-particle":"","family":"Du","given":"R","non-dropping-particle":"","parse-names":false,"suffix":""}],"container-title":"Human factors","id":"ITEM-1","issue":"3","issued":{"date-parts":[["2001"]]},"language":"eng","page":"366-380","title":"Monitoring task loading with multivariate EEG measures during complex forms of human-computer interaction","type":"article-journal","volume":"43"},"uris":["http://www.mendeley.com/documents/?uuid=481eaecb-740b-40fd-95a5-e6e90f9c7340"]}],"mendeley":{"formattedCitation":"[13]","plainTextFormattedCitation":"[13]","previouslyFormattedCitation":"[13]"},"properties":{"noteIndex":0},"schema":"https://github.com/citation-style-language/schema/raw/master/csl-citation.json"}</w:instrText>
      </w:r>
      <w:r>
        <w:fldChar w:fldCharType="separate"/>
      </w:r>
      <w:r w:rsidRPr="00EE1C5A">
        <w:rPr>
          <w:noProof/>
        </w:rPr>
        <w:t>[13]</w:t>
      </w:r>
      <w:r>
        <w:fldChar w:fldCharType="end"/>
      </w:r>
      <w:r w:rsidRPr="00C6740C">
        <w:t xml:space="preserve">, and it is often shown to increase with a higher cognitive task demand </w:t>
      </w:r>
      <w:r>
        <w:fldChar w:fldCharType="begin" w:fldLock="1"/>
      </w:r>
      <w:r>
        <w:instrText>ADDIN CSL_CITATION {"citationItems":[{"id":"ITEM-1","itemData":{"DOI":"10.1007/BF01129966","ISSN":"0896-0267, 1573-6792","author":[{"dropping-particle":"","family":"Gundel","given":"Alexander","non-dropping-particle":"","parse-names":false,"suffix":""},{"dropping-particle":"","family":"Wilson","given":"Glenn F.","non-dropping-particle":"","parse-names":false,"suffix":""}],"container-title":"Brain Topography","id":"ITEM-1","issue":"1","issued":{"date-parts":[["1992"]]},"page":"17-25","title":"Topographical changes in the ongoing EEG related to the difficulty of mental tasks","type":"article-journal","volume":"5"},"uris":["http://www.mendeley.com/documents/?uuid=a0b62bdc-1075-4392-b155-abdfb9561824"]}],"mendeley":{"formattedCitation":"[14]","plainTextFormattedCitation":"[14]","previouslyFormattedCitation":"[14]"},"properties":{"noteIndex":0},"schema":"https://github.com/citation-style-language/schema/raw/master/csl-citation.json"}</w:instrText>
      </w:r>
      <w:r>
        <w:fldChar w:fldCharType="separate"/>
      </w:r>
      <w:r w:rsidRPr="00EE1C5A">
        <w:rPr>
          <w:noProof/>
        </w:rPr>
        <w:t>[14]</w:t>
      </w:r>
      <w:r>
        <w:fldChar w:fldCharType="end"/>
      </w:r>
      <w:r w:rsidRPr="00C6740C">
        <w:t xml:space="preserve">. </w:t>
      </w:r>
      <w:r w:rsidRPr="00C6740C">
        <w:rPr>
          <w:i/>
          <w:iCs/>
        </w:rPr>
        <w:t>Alpha activity</w:t>
      </w:r>
      <w:r w:rsidRPr="00C6740C">
        <w:t xml:space="preserve"> has found in the visual cortex (occipital lobe) during periods of relaxation or idling (eyes closed but awake). In the continuous EEG, the alpha band is characterized by high amplitude and regular oscillations, over parietal and occipital areas. High alpha power has been assumed to reflect a state of relaxation or cortical idling; however, when the operator assigns more effort to the task, different regions of the cortex may be recruited in the transient function network leading to passive oscillation of the local alpha generators, in synchrony with a reduction in alpha power </w:t>
      </w:r>
      <w:r>
        <w:fldChar w:fldCharType="begin" w:fldLock="1"/>
      </w:r>
      <w:r>
        <w:instrText>ADDIN CSL_CITATION {"citationItems":[{"id":"ITEM-1","itemData":{"DOI":"10.1518/001872098779480578","ISSN":"0018-7208","PMID":"9579105","abstract":"We assessed working memory load during computer use with neural network pattern recognition applied to EEG spectral features. Eight participants performed high-, moderate-, and low-load working memory tasks. Frontal theta EEG activity increased and alpha activity decreased with increasing load. These changes probably reflect task difficulty-related increases in mental effort and the proportion of cortical resources allocated to task performance. In network analyses, test data segments from high and low load levels were discriminated with better than 95% accuracy. More than 80% of test data segments associated with a moderate load could be discriminated from high- or low-load data segments. Statistically significant classification was also achieved when applying networks trained with data from one day to data from another day, when applying networks trained with data from one task to data from another task, and when applying networks trained with data from a group of participants to data from new participants. These results support the feasibility of using EEG-based methods for monitoring cognitive load during human-computer interaction.","author":[{"dropping-particle":"","family":"Gevins","given":"Alan","non-dropping-particle":"","parse-names":false,"suffix":""},{"dropping-particle":"","family":"Smith","given":"Michael E.","non-dropping-particle":"","parse-names":false,"suffix":""},{"dropping-particle":"","family":"Leong","given":"Harrison","non-dropping-particle":"","parse-names":false,"suffix":""},{"dropping-particle":"","family":"McEvoy","given":"Linda","non-dropping-particle":"","parse-names":false,"suffix":""},{"dropping-particle":"","family":"Whitfield","given":"Susan","non-dropping-particle":"","parse-names":false,"suffix":""},{"dropping-particle":"","family":"Du","given":"Robert","non-dropping-particle":"","parse-names":false,"suffix":""},{"dropping-particle":"","family":"Rush","given":"Georgia","non-dropping-particle":"","parse-names":false,"suffix":""}],"container-title":"Human factors","id":"ITEM-1","issue":"1","issued":{"date-parts":[["1998","3"]]},"page":"79-91","publisher":"Hum Factors","title":"Monitoring working memory load during computer-based tasks with EEG pattern recognition methods","type":"article-journal","volume":"40"},"uris":["http://www.mendeley.com/documents/?uuid=64a7b0ee-745e-3403-bfd2-87b25de4ef9e"]}],"mendeley":{"formattedCitation":"[15]","plainTextFormattedCitation":"[15]","previouslyFormattedCitation":"[15]"},"properties":{"noteIndex":0},"schema":"https://github.com/citation-style-language/schema/raw/master/csl-citation.json"}</w:instrText>
      </w:r>
      <w:r>
        <w:fldChar w:fldCharType="separate"/>
      </w:r>
      <w:r w:rsidRPr="00EE1C5A">
        <w:rPr>
          <w:noProof/>
        </w:rPr>
        <w:t>[15]</w:t>
      </w:r>
      <w:r>
        <w:fldChar w:fldCharType="end"/>
      </w:r>
      <w:r w:rsidRPr="00C6740C">
        <w:t xml:space="preserve">. Recent results have suggested that alpha is involved in auditory attention processes and the inhibition of task irrelevant areas to enhance the signal-to-noise ratio </w:t>
      </w:r>
      <w:r>
        <w:fldChar w:fldCharType="begin" w:fldLock="1"/>
      </w:r>
      <w:r>
        <w:instrText>ADDIN CSL_CITATION {"citationItems":[{"id":"ITEM-1","itemData":{"DOI":"10.1016/j.brainresrev.2006.06.003","ISSN":"0165-0173","abstract":"The traditional belief is that the event-related alpha response can solely be described in terms of suppression or event-related desynchronization (ERD). Recent research, however, has shown that under certain conditions alpha responds reliably with an increase in amplitudes (event-related synchronization or ERS). ERS is elicited in situations, where subjects withhold or control the execution of a response and is obtained over sites that probably are under, or exert top-down control. Thus, we assume that alpha ERS reflects top-down, inhibitory control processes. This assumption leads over to the timing aspect of our hypothesis. By the very nature of an oscillation, rhythmic amplitude changes reflect rhythmic changes in excitation of a population of neurons. Thus, the time and direction of a change - described by phase - is functionally related to the timing of neuronal activation processes. A variety of findings supports this view and shows, e.g., that alpha phase coherence increases between task-relevant sites and that phase lag lies within a time range that is consistent with neuronal transmission speed. Another implication is that phase reset will be a powerful mechanism for the event-related timing of cortical processes. Empirical evidence suggests that the extent of phase locking is a functionally sensitive measure that is related to cognitive performance. Our general conclusion is that alpha ERS plays an active role for the inhibitory control and timing of cortical processing whereas ERD reflects the gradual release of inhibition associated with the emergence of complex spreading activation processes.","author":[{"dropping-particle":"","family":"Klimesch","given":"Wolfgang","non-dropping-particle":"","parse-names":false,"suffix":""},{"dropping-particle":"","family":"Sauseng","given":"Paul","non-dropping-particle":"","parse-names":false,"suffix":""},{"dropping-particle":"","family":"Hanslmayr","given":"Simon","non-dropping-particle":"","parse-names":false,"suffix":""}],"container-title":"Brain research reviews","id":"ITEM-1","issue":"1","issued":{"date-parts":[["2007","1"]]},"language":"eng","page":"63-88","title":"EEG alpha oscillations: the inhibition-timing hypothesis","title-short":"EEG alpha oscillations","type":"article-journal","volume":"53"},"uris":["http://www.mendeley.com/documents/?uuid=46700407-e63d-4459-a913-4f6c8697dd91"]}],"mendeley":{"formattedCitation":"[16]","plainTextFormattedCitation":"[16]","previouslyFormattedCitation":"[16]"},"properties":{"noteIndex":0},"schema":"https://github.com/citation-style-language/schema/raw/master/csl-citation.json"}</w:instrText>
      </w:r>
      <w:r>
        <w:fldChar w:fldCharType="separate"/>
      </w:r>
      <w:r w:rsidRPr="00EE1C5A">
        <w:rPr>
          <w:noProof/>
        </w:rPr>
        <w:t>[16]</w:t>
      </w:r>
      <w:r>
        <w:fldChar w:fldCharType="end"/>
      </w:r>
      <w:r w:rsidRPr="00C6740C">
        <w:t xml:space="preserve">. Additionally, alpha activity may be further divided into sub-bands by means of the frequency corresponding to the alpha peak of the user </w:t>
      </w:r>
      <w:r>
        <w:fldChar w:fldCharType="begin" w:fldLock="1"/>
      </w:r>
      <w:r>
        <w:instrText>ADDIN CSL_CITATION {"citationItems":[{"id":"ITEM-1","itemData":{"DOI":"10.1016/j.brainresrev.2006.06.003","ISSN":"0165-0173","abstract":"The traditional belief is that the event-related alpha response can solely be described in terms of suppression or event-related desynchronization (ERD). Recent research, however, has shown that under certain conditions alpha responds reliably with an increase in amplitudes (event-related synchronization or ERS). ERS is elicited in situations, where subjects withhold or control the execution of a response and is obtained over sites that probably are under, or exert top-down control. Thus, we assume that alpha ERS reflects top-down, inhibitory control processes. This assumption leads over to the timing aspect of our hypothesis. By the very nature of an oscillation, rhythmic amplitude changes reflect rhythmic changes in excitation of a population of neurons. Thus, the time and direction of a change - described by phase - is functionally related to the timing of neuronal activation processes. A variety of findings supports this view and shows, e.g., that alpha phase coherence increases between task-relevant sites and that phase lag lies within a time range that is consistent with neuronal transmission speed. Another implication is that phase reset will be a powerful mechanism for the event-related timing of cortical processes. Empirical evidence suggests that the extent of phase locking is a functionally sensitive measure that is related to cognitive performance. Our general conclusion is that alpha ERS plays an active role for the inhibitory control and timing of cortical processing whereas ERD reflects the gradual release of inhibition associated with the emergence of complex spreading activation processes.","author":[{"dropping-particle":"","family":"Klimesch","given":"Wolfgang","non-dropping-particle":"","parse-names":false,"suffix":""},{"dropping-particle":"","family":"Sauseng","given":"Paul","non-dropping-particle":"","parse-names":false,"suffix":""},{"dropping-particle":"","family":"Hanslmayr","given":"Simon","non-dropping-particle":"","parse-names":false,"suffix":""}],"container-title":"Brain research reviews","id":"ITEM-1","issue":"1","issued":{"date-parts":[["2007","1"]]},"language":"eng","page":"63-88","title":"EEG alpha oscillations: the inhibition-timing hypothesis","title-short":"EEG alpha oscillations","type":"article-journal","volume":"53"},"uris":["http://www.mendeley.com/documents/?uuid=46700407-e63d-4459-a913-4f6c8697dd91"]}],"mendeley":{"formattedCitation":"[16]","plainTextFormattedCitation":"[16]","previouslyFormattedCitation":"[16]"},"properties":{"noteIndex":0},"schema":"https://github.com/citation-style-language/schema/raw/master/csl-citation.json"}</w:instrText>
      </w:r>
      <w:r>
        <w:fldChar w:fldCharType="separate"/>
      </w:r>
      <w:r w:rsidRPr="00EE1C5A">
        <w:rPr>
          <w:noProof/>
        </w:rPr>
        <w:t>[16]</w:t>
      </w:r>
      <w:r>
        <w:fldChar w:fldCharType="end"/>
      </w:r>
      <w:r w:rsidRPr="00C6740C">
        <w:t xml:space="preserve">, called </w:t>
      </w:r>
      <w:r w:rsidRPr="00C6740C">
        <w:rPr>
          <w:i/>
        </w:rPr>
        <w:t>Individual Alpha Frequency</w:t>
      </w:r>
      <w:r w:rsidRPr="00C6740C">
        <w:t xml:space="preserve"> (IAF). For instance, </w:t>
      </w:r>
      <w:r w:rsidRPr="00C6740C">
        <w:rPr>
          <w:i/>
        </w:rPr>
        <w:t>alpha 3</w:t>
      </w:r>
      <w:r w:rsidRPr="00C6740C">
        <w:t xml:space="preserve"> (IAF÷IAF+2 (Hz)) reflects semantic memory performance, while </w:t>
      </w:r>
      <w:r w:rsidRPr="00C6740C">
        <w:rPr>
          <w:i/>
        </w:rPr>
        <w:t>alpha 1</w:t>
      </w:r>
      <w:r w:rsidRPr="00C6740C">
        <w:t xml:space="preserve"> and </w:t>
      </w:r>
      <w:r w:rsidRPr="00C6740C">
        <w:rPr>
          <w:i/>
        </w:rPr>
        <w:t>alpha 2</w:t>
      </w:r>
      <w:r w:rsidRPr="00C6740C">
        <w:t xml:space="preserve"> (respectively, IAF-4÷IAF-2 and IAF-2÷IAF (Hz)) reflect general task demands and attentional processes. </w:t>
      </w:r>
      <w:r w:rsidRPr="00C6740C">
        <w:rPr>
          <w:i/>
          <w:iCs/>
        </w:rPr>
        <w:t>Beta activity</w:t>
      </w:r>
      <w:r w:rsidRPr="00C6740C">
        <w:t xml:space="preserve"> is predominant in wakefulness state, especially in the frontal and central areas of the brain. High power in the beta band is associated with increased mental arousal and activity. Dooley </w:t>
      </w:r>
      <w:r>
        <w:fldChar w:fldCharType="begin" w:fldLock="1"/>
      </w:r>
      <w:r>
        <w:instrText>ADDIN CSL_CITATION {"citationItems":[{"id":"ITEM-1","itemData":{"author":[{"dropping-particle":"","family":"Dooley","given":"C","non-dropping-particle":"","parse-names":false,"suffix":""}],"id":"ITEM-1","issued":{"date-parts":[["2009"]]},"page":"35-59","title":"The Impact of Meditative Practices on Physiology and Neurology: A Review of the Literature","type":"paper-conference"},"uris":["http://www.mendeley.com/documents/?uuid=5e9c9147-3d04-4989-b706-09e14ce30414"]}],"mendeley":{"formattedCitation":"[17]","plainTextFormattedCitation":"[17]","previouslyFormattedCitation":"[17]"},"properties":{"noteIndex":0},"schema":"https://github.com/citation-style-language/schema/raw/master/csl-citation.json"}</w:instrText>
      </w:r>
      <w:r>
        <w:fldChar w:fldCharType="separate"/>
      </w:r>
      <w:r w:rsidRPr="00EE1C5A">
        <w:rPr>
          <w:noProof/>
        </w:rPr>
        <w:t>[17]</w:t>
      </w:r>
      <w:r>
        <w:fldChar w:fldCharType="end"/>
      </w:r>
      <w:r w:rsidRPr="00C6740C">
        <w:t xml:space="preserve"> pointed out that the beta wave represents cognitive consciousness and active, busy, or anxious thinking. Furthermore, it has been revealed to reflect the visual concentration and the orienting of attention </w:t>
      </w:r>
      <w:r>
        <w:fldChar w:fldCharType="begin" w:fldLock="1"/>
      </w:r>
      <w:r>
        <w:instrText>ADDIN CSL_CITATION {"citationItems":[{"id":"ITEM-1","itemData":{"author":[{"dropping-particle":"","family":"Birbaumer","given":"N","non-dropping-particle":"","parse-names":false,"suffix":""},{"dropping-particle":"","family":"Schmidt","given":"R.F","non-dropping-particle":"","parse-names":false,"suffix":""}],"id":"ITEM-1","issued":{"date-parts":[["1996"]]},"title":"Biologische Psychologie(3rd ed.)","type":"paper-conference"},"uris":["http://www.mendeley.com/documents/?uuid=19ad5b58-4b28-401a-8d45-d1839eac821e"]}],"mendeley":{"formattedCitation":"[18]","plainTextFormattedCitation":"[18]","previouslyFormattedCitation":"[18]"},"properties":{"noteIndex":0},"schema":"https://github.com/citation-style-language/schema/raw/master/csl-citation.json"}</w:instrText>
      </w:r>
      <w:r>
        <w:fldChar w:fldCharType="separate"/>
      </w:r>
      <w:r w:rsidRPr="00EE1C5A">
        <w:rPr>
          <w:noProof/>
        </w:rPr>
        <w:t>[18]</w:t>
      </w:r>
      <w:r>
        <w:fldChar w:fldCharType="end"/>
      </w:r>
      <w:r w:rsidRPr="00C6740C">
        <w:t xml:space="preserve">. This band can be further divided into </w:t>
      </w:r>
      <w:r w:rsidRPr="00C6740C">
        <w:rPr>
          <w:i/>
        </w:rPr>
        <w:t>low beta wave</w:t>
      </w:r>
      <w:r w:rsidRPr="00C6740C">
        <w:t xml:space="preserve"> (12.5-15 (Hz)), </w:t>
      </w:r>
      <w:r w:rsidRPr="00C6740C">
        <w:rPr>
          <w:i/>
        </w:rPr>
        <w:t>middle beta wave</w:t>
      </w:r>
      <w:r w:rsidRPr="00C6740C">
        <w:t xml:space="preserve"> (15-18 (Hz)), </w:t>
      </w:r>
      <w:r w:rsidRPr="00C6740C">
        <w:rPr>
          <w:i/>
        </w:rPr>
        <w:t>high beta wave</w:t>
      </w:r>
      <w:r w:rsidRPr="00C6740C">
        <w:t xml:space="preserve"> (&gt; 18 Hz). Low waves seem to be associated with inhibition of phasic movements during sleep, and high waves with dopaminergic system </w:t>
      </w:r>
      <w:r w:rsidRPr="00C6740C">
        <w:fldChar w:fldCharType="begin" w:fldLock="1"/>
      </w:r>
      <w:r>
        <w:instrText>ADDIN CSL_CITATION {"citationItems":[{"id":"ITEM-1","itemData":{"author":[{"dropping-particle":"","family":"Hagemann aus Ebersberg","given":"Konrad","non-dropping-particle":"","parse-names":false,"suffix":""},{"dropping-particle":"","family":"mit der Genehmigung der","given":"Gedruckt","non-dropping-particle":"","parse-names":false,"suffix":""},{"dropping-particle":"","family":"Buchner Koreferent","given":"Axel","non-dropping-particle":"","parse-names":false,"suffix":""},{"dropping-particle":"","family":"Michael Schrauf","given":"PD","non-dropping-particle":"","parse-names":false,"suffix":""}],"id":"ITEM-1","issued":{"date-parts":[["2008"]]},"title":"The alpha band as an electrophysiological indicator to detect divided attention and high mental workload in real traffic drivi","type":"report"},"uris":["http://www.mendeley.com/documents/?uuid=9d43ae52-ffea-4f80-9fa1-5cfe0dcdebea","http://www.mendeley.com/documents/?uuid=065e3cf1-6916-48fa-b0cd-cf9f357dba11","http://www.mendeley.com/documents/?uuid=457d4445-df28-3dd0-868d-c334e971e7b1","http://www.mendeley.com/documents/?uuid=ce2c2581-2a39-4c30-8af3-2aca0e4e873b"]}],"mendeley":{"formattedCitation":"[19]","plainTextFormattedCitation":"[19]","previouslyFormattedCitation":"[19]"},"properties":{"noteIndex":0},"schema":"https://github.com/citation-style-language/schema/raw/master/csl-citation.json"}</w:instrText>
      </w:r>
      <w:r w:rsidRPr="00C6740C">
        <w:fldChar w:fldCharType="separate"/>
      </w:r>
      <w:r w:rsidRPr="00EE1C5A">
        <w:rPr>
          <w:noProof/>
        </w:rPr>
        <w:t>[19]</w:t>
      </w:r>
      <w:r w:rsidRPr="00C6740C">
        <w:fldChar w:fldCharType="end"/>
      </w:r>
      <w:r w:rsidRPr="00C6740C">
        <w:t xml:space="preserve">. Finally, </w:t>
      </w:r>
      <w:r w:rsidRPr="00C6740C">
        <w:rPr>
          <w:i/>
          <w:iCs/>
        </w:rPr>
        <w:t>Gamma</w:t>
      </w:r>
      <w:r w:rsidRPr="00C6740C">
        <w:t xml:space="preserve"> is the fastest activity in EEG and it is thought to be infrequent during waking states of consciousness </w:t>
      </w:r>
      <w:r>
        <w:fldChar w:fldCharType="begin" w:fldLock="1"/>
      </w:r>
      <w:r>
        <w:instrText>ADDIN CSL_CITATION {"citationItems":[{"id":"ITEM-1","itemData":{"author":[{"dropping-particle":"","family":"Dooley","given":"C","non-dropping-particle":"","parse-names":false,"suffix":""}],"id":"ITEM-1","issued":{"date-parts":[["2009"]]},"page":"35-59","title":"The Impact of Meditative Practices on Physiology and Neurology: A Review of the Literature","type":"paper-conference"},"uris":["http://www.mendeley.com/documents/?uuid=5e9c9147-3d04-4989-b706-09e14ce30414"]}],"mendeley":{"formattedCitation":"[17]","plainTextFormattedCitation":"[17]","previouslyFormattedCitation":"[17]"},"properties":{"noteIndex":0},"schema":"https://github.com/citation-style-language/schema/raw/master/csl-citation.json"}</w:instrText>
      </w:r>
      <w:r>
        <w:fldChar w:fldCharType="separate"/>
      </w:r>
      <w:r w:rsidRPr="00EE1C5A">
        <w:rPr>
          <w:noProof/>
        </w:rPr>
        <w:t>[17]</w:t>
      </w:r>
      <w:r>
        <w:fldChar w:fldCharType="end"/>
      </w:r>
      <w:r w:rsidRPr="00C6740C">
        <w:t xml:space="preserve">. Recent studies reveal that it is linked with many cognitive functions, such as attention, learning, and memory </w:t>
      </w:r>
      <w:r>
        <w:fldChar w:fldCharType="begin" w:fldLock="1"/>
      </w:r>
      <w:r>
        <w:instrText>ADDIN CSL_CITATION {"citationItems":[{"id":"ITEM-1","itemData":{"DOI":"10.1016/j.tins.2007.05.001","ISSN":"0166-2236","abstract":"Both theoretical and experimental animal work supports the hypothesis that transient oscillatory synchronization of neuronal assemblies at gamma frequencies (30-100 Hz) is closely associated with sensory processing. Recent data from recordings in animals and humans have suggested that gamma-frequency activity also has an important role in attention and both working and long-term memory. The involvement of gamma-band synchronization in various cognitive paradigms in humans is currently being investigated using intracranial and high-density electro- and magnetoencephalography recordings. Here, we discuss recent findings demonstrating human gamma-frequency activity associated with attention and memory in both sensory and non-sensory areas. Because oscillatory gamma-frequency activity has an important role in neuronal communication and synaptic plasticity, it could provide a key for understanding neuronal processing in both local and distributed cortical networks engaged in complex cognitive functions. This review is part of the INMED/TINS special issue Physiogenic and pathogenic oscillations: the beauty and the beast, based on presentations at the annual INMED/TINS symposium (http://inmednet.com).","author":[{"dropping-particle":"","family":"Jensen","given":"Ole","non-dropping-particle":"","parse-names":false,"suffix":""},{"dropping-particle":"","family":"Kaiser","given":"Jochen","non-dropping-particle":"","parse-names":false,"suffix":""},{"dropping-particle":"","family":"Lachaux","given":"Jean-Philippe","non-dropping-particle":"","parse-names":false,"suffix":""}],"container-title":"Trends in neurosciences","id":"ITEM-1","issue":"7","issued":{"date-parts":[["2007","7"]]},"language":"eng","page":"317-324","title":"Human gamma-frequency oscillations associated with attention and memory","type":"article-journal","volume":"30"},"uris":["http://www.mendeley.com/documents/?uuid=59bf9893-b33c-496e-a78f-ce9009e6eaf1"]}],"mendeley":{"formattedCitation":"[20]","plainTextFormattedCitation":"[20]","previouslyFormattedCitation":"[20]"},"properties":{"noteIndex":0},"schema":"https://github.com/citation-style-language/schema/raw/master/csl-citation.json"}</w:instrText>
      </w:r>
      <w:r>
        <w:fldChar w:fldCharType="separate"/>
      </w:r>
      <w:r w:rsidRPr="00EE1C5A">
        <w:rPr>
          <w:noProof/>
        </w:rPr>
        <w:t>[20]</w:t>
      </w:r>
      <w:r>
        <w:fldChar w:fldCharType="end"/>
      </w:r>
      <w:r w:rsidRPr="00C6740C">
        <w:t xml:space="preserve">. Gamma components are difficult to record by scalp electrodes, because of their low amplitude, but with </w:t>
      </w:r>
      <w:r w:rsidRPr="00C6740C">
        <w:rPr>
          <w:i/>
        </w:rPr>
        <w:t>Electrocorticography</w:t>
      </w:r>
      <w:r w:rsidRPr="00C6740C">
        <w:t xml:space="preserve"> (ECoG) components up to 100 (Hz), or even higher, may be registered.</w:t>
      </w:r>
    </w:p>
    <w:p w14:paraId="0108F6F4" w14:textId="77777777" w:rsidR="00821405" w:rsidRDefault="00821405" w:rsidP="00821405">
      <w:pPr>
        <w:pStyle w:val="BodyText"/>
      </w:pPr>
    </w:p>
    <w:p w14:paraId="4FF6A2B7" w14:textId="77777777" w:rsidR="00821405" w:rsidRDefault="00821405" w:rsidP="00821405">
      <w:pPr>
        <w:pStyle w:val="Heading2"/>
        <w:numPr>
          <w:ilvl w:val="1"/>
          <w:numId w:val="20"/>
        </w:numPr>
      </w:pPr>
      <w:bookmarkStart w:id="27" w:name="_Toc99543108"/>
      <w:bookmarkStart w:id="28" w:name="_Toc103332733"/>
      <w:r>
        <w:t>Galvanic Skin Response – GSR</w:t>
      </w:r>
      <w:bookmarkEnd w:id="27"/>
      <w:bookmarkEnd w:id="28"/>
      <w:r>
        <w:t xml:space="preserve"> </w:t>
      </w:r>
    </w:p>
    <w:p w14:paraId="43CD2989" w14:textId="77777777" w:rsidR="00821405" w:rsidRDefault="00821405" w:rsidP="00821405">
      <w:pPr>
        <w:pStyle w:val="BodyText"/>
      </w:pPr>
      <w:r w:rsidRPr="00C92B2A">
        <w:t xml:space="preserve">The signal related to the Skin Conductance, named hereafter Galvanic Skin Response (GSR), </w:t>
      </w:r>
      <w:r>
        <w:t>is</w:t>
      </w:r>
      <w:r w:rsidRPr="00C92B2A">
        <w:t xml:space="preserve"> recorded </w:t>
      </w:r>
      <w:r>
        <w:t>by means of</w:t>
      </w:r>
      <w:r w:rsidRPr="00C92B2A">
        <w:t xml:space="preserve"> specific sensors applied to the non-dominant hand </w:t>
      </w:r>
      <w:r w:rsidRPr="00C92B2A">
        <w:fldChar w:fldCharType="begin" w:fldLock="1"/>
      </w:r>
      <w:r>
        <w:instrText>ADDIN CSL_CITATION {"citationItems":[{"id":"ITEM-1","itemData":{"abstract":"Objective: In this study a gaze independent event related potential (ERP)-based brain computer interface (BCI) for communication purpose was combined with an asynchronous classifier endowed with dynamical stopping feature. The aim was to evaluate if and how the performance of such asynchronous system could be negatively affected in terms of communication efficiency and robustness to false positives during the intentional no-control state. Material and methods: The proposed system was validated with the participation of 9 healthy subjects. A comparison was performed between asynchronous and synchronous classification technique outputs while users were controlling the same gaze independent BCI interface. The performance of both classification techniques were assessed both off-line and on-line by means of the efficiency metric introduced by Bianchi et al. (2007). This latter metric allows to set a different misclassification cost for wrong classifications and abstentions. Robustness was evaluated as the rate of false positives occurring during voluntary no-control states. Results: The asynchronous classifier did not exhibited significantly higher accuracy or lower error rate with respect to the synchronous classifier (accuracy: 74.66% versus 87.96%, error rate: 7.11% versus 12.04% respectively). However, the on-line and off-line analysis revealed that the communication efficiency was significantly improved (p&lt;. .05) with the asynchronous classification modality as compared with the synchronous. Furthermore, the asynchronous classifier proved to be robust to false positives during intentional no-control state which occur during the ongoing visual stimulation (less than 1 false positive every 6. min). Conclusion: As such, the proposed ERP-BCI system which combines an asynchronous classifier with a gaze independent interface is a promising solution to be further explored in order to increase the general usability of ERP-based BCI systems designed for severely disabled people with an impairment of the voluntary control of eye movements. In fact, the asynchronous classifier can improve communication efficiency automatically adapting the number of stimulus repetitions to the current user's state and suspending the control if he/she does not intend to select an item. ?? 2013 Elsevier B.V.","author":[{"dropping-particle":"","family":"Aloise","given":"Fabio","non-dropping-particle":"","parse-names":false,"suffix":""},{"dropping-particle":"","family":"Aricò","given":"Pietro","non-dropping-particle":"","parse-names":false,"suffix":""},{"dropping-particle":"","family":"Schettini","given":"Francesca","non-dropping-particle":"","parse-names":false,"suffix":""},{"dropping-particle":"","family":"Salinari","given":"Serenella","non-dropping-particle":"","parse-names":false,"suffix":""},{"dropping-particle":"","family":"Mattia","given":"Donatella","non-dropping-particle":"","parse-names":false,"suffix":""},{"dropping-particle":"","family":"Cincotti","given":"Febo","non-dropping-particle":"","parse-names":false,"suffix":""}],"container-title":"Artificial Intelligence in Medicine","id":"ITEM-1","issue":"2","issued":{"date-parts":[["2013","10"]]},"page":"61-69","title":"Asynchronous gaze-independent event-related potential-based brain-computer interface","type":"article-journal","volume":"59"},"uris":["http://www.mendeley.com/documents/?uuid=dabfe4c3-8d47-4ce3-8428-9c2c6dfb4d40"]}],"mendeley":{"formattedCitation":"[21]","plainTextFormattedCitation":"[21]","previouslyFormattedCitation":"[21]"},"properties":{"noteIndex":0},"schema":"https://github.com/citation-style-language/schema/raw/master/csl-citation.json"}</w:instrText>
      </w:r>
      <w:r w:rsidRPr="00C92B2A">
        <w:fldChar w:fldCharType="separate"/>
      </w:r>
      <w:r w:rsidRPr="00EE1C5A">
        <w:rPr>
          <w:noProof/>
        </w:rPr>
        <w:t>[21]</w:t>
      </w:r>
      <w:r w:rsidRPr="00C92B2A">
        <w:fldChar w:fldCharType="end"/>
      </w:r>
      <w:r w:rsidRPr="00C92B2A">
        <w:t xml:space="preserve">: by means of two electrodes on the first phalanx of the index and middle fingers, a constant potential is applied in order to induce a skin electrical current. The variations of such current are functions of the skin conductance variations. </w:t>
      </w:r>
      <w:r>
        <w:t xml:space="preserve">By a specific processing (i.e. </w:t>
      </w:r>
      <w:r w:rsidRPr="00C92B2A">
        <w:t xml:space="preserve">Continuous Decomposition Analysis </w:t>
      </w:r>
      <w:r w:rsidRPr="00C92B2A">
        <w:fldChar w:fldCharType="begin" w:fldLock="1"/>
      </w:r>
      <w:r>
        <w:instrText>ADDIN CSL_CITATION {"citationItems":[{"id":"ITEM-1","itemData":{"ISSN":"0048-5772","author":[{"dropping-particle":"","family":"Benedek","given":"Mathias","non-dropping-particle":"","parse-names":false,"suffix":""},{"dropping-particle":"","family":"Kaernbach","given":"Christian","non-dropping-particle":"","parse-names":false,"suffix":""}],"container-title":"psychophysiology","id":"ITEM-1","issue":"4","issued":{"date-parts":[["2010"]]},"page":"647-658","publisher":"Wiley Online Library","title":"Decomposition of skin conductance data by means of nonnegative deconvolution","type":"article-journal","volume":"47"},"uris":["http://www.mendeley.com/documents/?uuid=61d55883-3514-49b5-b67a-2e42949a8521","http://www.mendeley.com/documents/?uuid=683e23f4-95c7-4b20-b2b6-8b05fabc6d4b"]}],"mendeley":{"formattedCitation":"[22]","plainTextFormattedCitation":"[22]","previouslyFormattedCitation":"[22]"},"properties":{"noteIndex":0},"schema":"https://github.com/citation-style-language/schema/raw/master/csl-citation.json"}</w:instrText>
      </w:r>
      <w:r w:rsidRPr="00C92B2A">
        <w:fldChar w:fldCharType="separate"/>
      </w:r>
      <w:r w:rsidRPr="00EE1C5A">
        <w:rPr>
          <w:noProof/>
        </w:rPr>
        <w:t>[22]</w:t>
      </w:r>
      <w:r w:rsidRPr="00C92B2A">
        <w:fldChar w:fldCharType="end"/>
      </w:r>
      <w:r>
        <w:t>) it can be possible</w:t>
      </w:r>
      <w:r w:rsidRPr="00C92B2A">
        <w:t xml:space="preserve"> </w:t>
      </w:r>
      <w:r>
        <w:t>to obtain two main components:</w:t>
      </w:r>
      <w:r w:rsidRPr="00C92B2A">
        <w:t xml:space="preserve"> the Tonic (Skin Conductance Level—SCL) and the Phasic (Skin Conductance Response—SCR) components of the GSR.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21405" w14:paraId="377A2406" w14:textId="77777777" w:rsidTr="00DE3760">
        <w:tc>
          <w:tcPr>
            <w:tcW w:w="9060" w:type="dxa"/>
          </w:tcPr>
          <w:p w14:paraId="30BF5705" w14:textId="77777777" w:rsidR="00821405" w:rsidRDefault="00821405" w:rsidP="00DE3760">
            <w:pPr>
              <w:pStyle w:val="BodyText"/>
              <w:jc w:val="center"/>
            </w:pPr>
            <w:r>
              <w:rPr>
                <w:noProof/>
              </w:rPr>
              <w:lastRenderedPageBreak/>
              <w:drawing>
                <wp:inline distT="0" distB="0" distL="0" distR="0" wp14:anchorId="4DF035A4" wp14:editId="1346B4B7">
                  <wp:extent cx="3206750" cy="3023870"/>
                  <wp:effectExtent l="0" t="0" r="0" b="508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6750" cy="3023870"/>
                          </a:xfrm>
                          <a:prstGeom prst="rect">
                            <a:avLst/>
                          </a:prstGeom>
                          <a:noFill/>
                        </pic:spPr>
                      </pic:pic>
                    </a:graphicData>
                  </a:graphic>
                </wp:inline>
              </w:drawing>
            </w:r>
          </w:p>
        </w:tc>
      </w:tr>
      <w:tr w:rsidR="00821405" w14:paraId="0DF0190E" w14:textId="77777777" w:rsidTr="00DE3760">
        <w:tc>
          <w:tcPr>
            <w:tcW w:w="9060" w:type="dxa"/>
          </w:tcPr>
          <w:p w14:paraId="63C4BF69" w14:textId="77777777" w:rsidR="00821405" w:rsidRDefault="00821405" w:rsidP="00DE3760">
            <w:pPr>
              <w:pStyle w:val="BodyText"/>
            </w:pPr>
            <w:bookmarkStart w:id="29" w:name="_Toc99542999"/>
            <w:bookmarkStart w:id="30" w:name="_Toc103332725"/>
            <w:r w:rsidRPr="005821F8">
              <w:t xml:space="preserve">Figure </w:t>
            </w:r>
            <w:r w:rsidRPr="005821F8">
              <w:fldChar w:fldCharType="begin"/>
            </w:r>
            <w:r w:rsidRPr="005821F8">
              <w:instrText xml:space="preserve"> SEQ Figure \* ARABIC </w:instrText>
            </w:r>
            <w:r w:rsidRPr="005821F8">
              <w:fldChar w:fldCharType="separate"/>
            </w:r>
            <w:r>
              <w:rPr>
                <w:noProof/>
              </w:rPr>
              <w:t>5</w:t>
            </w:r>
            <w:r w:rsidRPr="005821F8">
              <w:fldChar w:fldCharType="end"/>
            </w:r>
            <w:r w:rsidRPr="005821F8">
              <w:t xml:space="preserve">. </w:t>
            </w:r>
            <w:r w:rsidRPr="00211F44">
              <w:t xml:space="preserve">In the analysis of the </w:t>
            </w:r>
            <w:r>
              <w:t>GSR</w:t>
            </w:r>
            <w:r w:rsidRPr="00211F44">
              <w:t xml:space="preserve"> (or SC) two components are usually considered, the Skin Conductance level (SCL), and Skin Conductance Response (SCR).</w:t>
            </w:r>
            <w:bookmarkEnd w:id="29"/>
            <w:bookmarkEnd w:id="30"/>
          </w:p>
        </w:tc>
      </w:tr>
    </w:tbl>
    <w:p w14:paraId="4EFDF5DE" w14:textId="77777777" w:rsidR="00821405" w:rsidRDefault="00821405" w:rsidP="00821405">
      <w:pPr>
        <w:pStyle w:val="BodyText"/>
      </w:pPr>
    </w:p>
    <w:p w14:paraId="7FCE1FEF" w14:textId="77777777" w:rsidR="00821405" w:rsidRDefault="00821405" w:rsidP="00821405">
      <w:pPr>
        <w:pStyle w:val="BodyText"/>
      </w:pPr>
      <w:r w:rsidRPr="00C92B2A">
        <w:t xml:space="preserve">In this regard, Boucsein </w:t>
      </w:r>
      <w:r w:rsidRPr="00C92B2A">
        <w:fldChar w:fldCharType="begin" w:fldLock="1"/>
      </w:r>
      <w:r>
        <w:instrText>ADDIN CSL_CITATION {"citationItems":[{"id":"ITEM-1","itemData":{"ISBN":"978-1-4614-1125-3 978-1-4614-1126-0","author":[{"dropping-particle":"","family":"Boucsein","given":"Wolfram","non-dropping-particle":"","parse-names":false,"suffix":""}],"edition":"2nd ed","id":"ITEM-1","issued":{"date-parts":[["2012"]]},"number-of-pages":"618","publisher":"Springer","publisher-place":"New York","title":"Electrodermal activity","type":"book"},"uris":["http://www.mendeley.com/documents/?uuid=dafa8a0a-c14d-4cc2-8dbe-4efb79cfd597"]}],"mendeley":{"formattedCitation":"[23]","plainTextFormattedCitation":"[23]","previouslyFormattedCitation":"[23]"},"properties":{"noteIndex":0},"schema":"https://github.com/citation-style-language/schema/raw/master/csl-citation.json"}</w:instrText>
      </w:r>
      <w:r w:rsidRPr="00C92B2A">
        <w:fldChar w:fldCharType="separate"/>
      </w:r>
      <w:r w:rsidRPr="00EE1C5A">
        <w:rPr>
          <w:noProof/>
        </w:rPr>
        <w:t>[23]</w:t>
      </w:r>
      <w:r w:rsidRPr="00C92B2A">
        <w:fldChar w:fldCharType="end"/>
      </w:r>
      <w:r w:rsidRPr="00C92B2A">
        <w:t xml:space="preserve"> provided the most exhaustive review of GSR physiological interpretation and GSR analysis techniques. Briefly, there are two major components for GSR analysis: the SCL (tonic component) is a slowly changing part of the GSR signal, mostly related with the global arousal of a participant during a situation, whilst the SCR (phasic component) is the fast-changing part of the GSR signal, which occurs in relation to single stimuli reactions</w:t>
      </w:r>
      <w:r>
        <w:t xml:space="preserve"> (Figure 3)</w:t>
      </w:r>
      <w:r w:rsidRPr="00C92B2A">
        <w:t xml:space="preserve">. An increase in skin conductance level is considered a reliable bioindicator of human arousal variations </w:t>
      </w:r>
      <w:r w:rsidRPr="00C92B2A">
        <w:fldChar w:fldCharType="begin" w:fldLock="1"/>
      </w:r>
      <w:r>
        <w:instrText>ADDIN CSL_CITATION {"citationItems":[{"id":"ITEM-1","itemData":{"ISSN":"0002-8703","author":[{"dropping-particle":"","family":"Jacobs","given":"Sue C","non-dropping-particle":"","parse-names":false,"suffix":""},{"dropping-particle":"","family":"Friedman","given":"Richard","non-dropping-particle":"","parse-names":false,"suffix":""},{"dropping-particle":"","family":"Parker","given":"John D","non-dropping-particle":"","parse-names":false,"suffix":""},{"dropping-particle":"","family":"Tofler","given":"Geoffrey H","non-dropping-particle":"","parse-names":false,"suffix":""},{"dropping-particle":"","family":"Jimenez","given":"Alfredo H","non-dropping-particle":"","parse-names":false,"suffix":""},{"dropping-particle":"","family":"Muller","given":"James E","non-dropping-particle":"","parse-names":false,"suffix":""},{"dropping-particle":"","family":"Benson","given":"Herbert","non-dropping-particle":"","parse-names":false,"suffix":""},{"dropping-particle":"","family":"Stone","given":"Peter H","non-dropping-particle":"","parse-names":false,"suffix":""}],"container-title":"American heart journal","id":"ITEM-1","issue":"6","issued":{"date-parts":[["1994"]]},"page":"1170-1177","publisher":"Elsevier","title":"Use of skin conductance changes during mental stress testing as an index of autonomic arousal in cardiovascular research","type":"article-journal","volume":"128"},"uris":["http://www.mendeley.com/documents/?uuid=5f6251aa-6264-45c0-9f25-7bd0798bb02a","http://www.mendeley.com/documents/?uuid=d10aa3cb-826e-44e2-a066-0c50e0c6f960"]}],"mendeley":{"formattedCitation":"[24]","plainTextFormattedCitation":"[24]","previouslyFormattedCitation":"[24]"},"properties":{"noteIndex":0},"schema":"https://github.com/citation-style-language/schema/raw/master/csl-citation.json"}</w:instrText>
      </w:r>
      <w:r w:rsidRPr="00C92B2A">
        <w:fldChar w:fldCharType="separate"/>
      </w:r>
      <w:r w:rsidRPr="00EE1C5A">
        <w:rPr>
          <w:noProof/>
        </w:rPr>
        <w:t>[24]</w:t>
      </w:r>
      <w:r w:rsidRPr="00C92B2A">
        <w:fldChar w:fldCharType="end"/>
      </w:r>
      <w:r w:rsidRPr="00C92B2A">
        <w:t xml:space="preserve">, it is typically used to evaluate the anxiety produced by a situation or the stress related to a threat </w:t>
      </w:r>
      <w:r w:rsidRPr="00C92B2A">
        <w:fldChar w:fldCharType="begin" w:fldLock="1"/>
      </w:r>
      <w:r>
        <w:instrText>ADDIN CSL_CITATION {"citationItems":[{"id":"ITEM-1","itemData":{"ISSN":"905199429X","author":[{"dropping-particle":"","family":"Riva","given":"Giuseppe","non-dropping-particle":"","parse-names":false,"suffix":""},{"dropping-particle":"","family":"Wiederhold","given":"Brenda K","non-dropping-particle":"","parse-names":false,"suffix":""},{"dropping-particle":"","family":"Molinari","given":"Enrico","non-dropping-particle":"","parse-names":false,"suffix":""}],"id":"ITEM-1","issued":{"date-parts":[["1998"]]},"publisher":"IOS press","title":"Virtual environments in clinical psychology and neuroscience: Methods and techniques in advanced patient-therapist interaction","type":"article-journal"},"uris":["http://www.mendeley.com/documents/?uuid=623b56f2-e13c-4ead-8e7a-ed89f761e9fc","http://www.mendeley.com/documents/?uuid=21ff0181-6429-4363-99f0-8d42540f0d97"]},{"id":"ITEM-2","itemData":{"ISSN":"0926-9630","author":[{"dropping-particle":"","family":"Wiederhold","given":"Brenda K","non-dropping-particle":"","parse-names":false,"suffix":""},{"dropping-particle":"","family":"Davis","given":"Renee","non-dropping-particle":"","parse-names":false,"suffix":""},{"dropping-particle":"","family":"Wiederhold","given":"Mark D","non-dropping-particle":"","parse-names":false,"suffix":""}],"container-title":"Studies in health technology and informatics","id":"ITEM-2","issued":{"date-parts":[["1998"]]},"page":"52-62","publisher":"IOS PRESS","title":"The effects of immersiveness on physiology","type":"article-journal"},"uris":["http://www.mendeley.com/documents/?uuid=febe22d1-b78b-4373-beb9-ffbfd036a8d1","http://www.mendeley.com/documents/?uuid=286206f3-aefb-41a0-b0c2-8944e955d734"]},{"id":"ITEM-3","itemData":{"author":[{"dropping-particle":"","family":"Wiederhold","given":"Brenda K","non-dropping-particle":"","parse-names":false,"suffix":""},{"dropping-particle":"","family":"Jang","given":"Dong P","non-dropping-particle":"","parse-names":false,"suffix":""},{"dropping-particle":"","family":"Kaneda","given":"Mayumi","non-dropping-particle":"","parse-names":false,"suffix":""},{"dropping-particle":"","family":"Cabral","given":"Irene","non-dropping-particle":"","parse-names":false,"suffix":""},{"dropping-particle":"","family":"Lurie","given":"Yair","non-dropping-particle":"","parse-names":false,"suffix":""},{"dropping-particle":"","family":"May","given":"T","non-dropping-particle":"","parse-names":false,"suffix":""},{"dropping-particle":"","family":"Kim","given":"I Y","non-dropping-particle":"","parse-names":false,"suffix":""},{"dropping-particle":"","family":"Wiederhold","given":"Mark D","non-dropping-particle":"","parse-names":false,"suffix":""},{"dropping-particle":"","family":"Kim","given":"S I","non-dropping-particle":"","parse-names":false,"suffix":""}],"container-title":"Towards cyberpsychology: Mind, cognitions and society in the internet age","id":"ITEM-3","issued":{"date-parts":[["2001"]]},"page":"175-183","publisher":"Citeseer","title":"An investigation into physiological responses in virtual environments: an objective measurement of presence","type":"article-journal","volume":"2"},"uris":["http://www.mendeley.com/documents/?uuid=ea6d43f1-317c-462c-8158-6a174d94be02","http://www.mendeley.com/documents/?uuid=b7faa36d-2d8b-43b7-ac84-6014c38633d5"]}],"mendeley":{"formattedCitation":"[25]–[27]","plainTextFormattedCitation":"[25]–[27]","previouslyFormattedCitation":"[25]–[27]"},"properties":{"noteIndex":0},"schema":"https://github.com/citation-style-language/schema/raw/master/csl-citation.json"}</w:instrText>
      </w:r>
      <w:r w:rsidRPr="00C92B2A">
        <w:fldChar w:fldCharType="separate"/>
      </w:r>
      <w:r w:rsidRPr="00EE1C5A">
        <w:rPr>
          <w:noProof/>
        </w:rPr>
        <w:t>[25]–[27]</w:t>
      </w:r>
      <w:r w:rsidRPr="00C92B2A">
        <w:fldChar w:fldCharType="end"/>
      </w:r>
      <w:r w:rsidRPr="00C92B2A">
        <w:t>.</w:t>
      </w:r>
    </w:p>
    <w:p w14:paraId="21AC0F4F" w14:textId="77777777" w:rsidR="00821405" w:rsidRDefault="00821405" w:rsidP="00821405">
      <w:pPr>
        <w:pStyle w:val="Heading1"/>
        <w:numPr>
          <w:ilvl w:val="0"/>
          <w:numId w:val="20"/>
        </w:numPr>
        <w:ind w:left="431" w:hanging="431"/>
      </w:pPr>
      <w:bookmarkStart w:id="31" w:name="_Toc99543109"/>
      <w:bookmarkStart w:id="32" w:name="_Toc103332734"/>
      <w:r>
        <w:lastRenderedPageBreak/>
        <w:t>Neurophysiological mental and emotional states assessment</w:t>
      </w:r>
      <w:bookmarkEnd w:id="31"/>
      <w:bookmarkEnd w:id="32"/>
    </w:p>
    <w:p w14:paraId="60D40A5C" w14:textId="7E84A066" w:rsidR="00821405" w:rsidRPr="00C92B2A" w:rsidRDefault="00821405" w:rsidP="00821405">
      <w:pPr>
        <w:pStyle w:val="BodyText"/>
      </w:pPr>
      <w:r>
        <w:t xml:space="preserve">This paragraph will report how neurophysiological measures can be employed to provide, even online, information regarding mental and emotional states of the user, </w:t>
      </w:r>
      <w:r w:rsidR="00095DBD">
        <w:t>regarding</w:t>
      </w:r>
      <w:r>
        <w:t xml:space="preserve"> Workload, Stress and Approach-Withdrawal. </w:t>
      </w:r>
    </w:p>
    <w:p w14:paraId="419E6242" w14:textId="77777777" w:rsidR="00821405" w:rsidRDefault="00821405" w:rsidP="00821405">
      <w:pPr>
        <w:pStyle w:val="Heading2"/>
        <w:numPr>
          <w:ilvl w:val="1"/>
          <w:numId w:val="20"/>
        </w:numPr>
      </w:pPr>
      <w:bookmarkStart w:id="33" w:name="_Toc99543110"/>
      <w:bookmarkStart w:id="34" w:name="_Toc103332735"/>
      <w:r>
        <w:t>Workload</w:t>
      </w:r>
      <w:bookmarkEnd w:id="33"/>
      <w:bookmarkEnd w:id="34"/>
    </w:p>
    <w:p w14:paraId="742C5AF6" w14:textId="77777777" w:rsidR="00821405" w:rsidRPr="00375272" w:rsidRDefault="00821405" w:rsidP="00821405">
      <w:pPr>
        <w:pStyle w:val="BodyText"/>
      </w:pPr>
      <w:r w:rsidRPr="014E3828">
        <w:t>Various mental workload definitions have been given during the last decades, showing that workload is a complex construct resulting of different interacting cognitive aspects. Measurement of mental workload represents the quantification of mental activity resulting from performing a task. Several empirical investigations have indicated that performance declines at the extremes of the workload demand continuum - that is when the event rate is excessively high or extremely low. For these reasons, the mental workload is an important and central construct in ergonomics and human factor research. Moreover, the subjective measures of workload perception could be performed through several questionnaires, such as the NASA-TLX</w:t>
      </w:r>
      <w:r>
        <w:t xml:space="preserve"> </w:t>
      </w:r>
      <w:r>
        <w:fldChar w:fldCharType="begin" w:fldLock="1"/>
      </w:r>
      <w:r>
        <w:instrText>ADDIN CSL_CITATION {"citationItems":[{"id":"ITEM-1","itemData":{"DOI":"10.1177/154193120605000909","ISSN":"1541-9312","abstract":"NASA-TLX is a multi-dimensional scale designed to obtain workload estimates from one or more operators while they are performing a task or immediately afterwards. The years of research that preceded subscale selection and the weighted averaging approach resulted in a tool that has proven to be reasonably easy to use and reliably sensitive to experimentally important manipulations over the past 20 years. Its use has spread far beyond its original application (aviation), focus (crew complement), and language (English). This survey of 550 studies in which NASA-TLX was used or reviewed was undertaken to provide a resource for a new generation of users. The goal was to summarize the environments in which it has been applied, the types of activities the raters performed, other variables that were measured that did (or did not) covary, methodological issues, and lessons learned","author":[{"dropping-particle":"","family":"Hart","given":"Sandra G.","non-dropping-particle":"","parse-names":false,"suffix":""}],"container-title":"Proceedings of the Human Factors and Ergonomics Society Annual Meeting","id":"ITEM-1","issue":"9","issued":{"date-parts":[["2006","10","5"]]},"page":"904-908","publisher":"SAGE PublicationsSage CA: Los Angeles, CA","title":"Nasa-Task Load Index (NASA-TLX); 20 Years Later","type":"article-journal","volume":"50"},"uris":["http://www.mendeley.com/documents/?uuid=19edb0cd-23af-3f0b-aebd-9727ce1fc059"]}],"mendeley":{"formattedCitation":"[28]","plainTextFormattedCitation":"[28]","previouslyFormattedCitation":"[28]"},"properties":{"noteIndex":0},"schema":"https://github.com/citation-style-language/schema/raw/master/csl-citation.json"}</w:instrText>
      </w:r>
      <w:r>
        <w:fldChar w:fldCharType="separate"/>
      </w:r>
      <w:r w:rsidRPr="00EE1C5A">
        <w:rPr>
          <w:noProof/>
        </w:rPr>
        <w:t>[28]</w:t>
      </w:r>
      <w:r>
        <w:fldChar w:fldCharType="end"/>
      </w:r>
      <w:r w:rsidRPr="014E3828">
        <w:t xml:space="preserve">. Because of their inherently subjective nature, questionnaires do not allow for an objective and reliable measure of the actual cognitive demand in a real environment. Therefore, it has already been demonstrated in several contexts that the assessment of mental workload by electroencephalography (EEG) provides the sought-after reliable and objective measure </w:t>
      </w:r>
      <w:r>
        <w:fldChar w:fldCharType="begin" w:fldLock="1"/>
      </w:r>
      <w:r>
        <w:instrText>ADDIN CSL_CITATION {"citationItems":[{"id":"ITEM-1","itemData":{"DOI":"10.3389/fnhum.2016.00539","ISSN":"1662-5161","abstract":"Adaptive Automation (AA) is a promising approach to keep the task workload demand within appropriate levels in order to avoid both the under- and overload conditions, hence enhancing the overall performance and safety of the human-machine system. The main issue on the use of AA is how to trigger the AA solutions without affecting the operative task. In this regard, passive Brain-Computer Interface (pBCI) systems are a good candidate to activate automation, since they are able to gather information about the covert behaviour (e.g. mental workload) of a subject by analysing its neurophysiological signals (i.e. brain activity), and without interfering with the ongoing operational activity. We proposed a pBCI system able to trigger AA solutions integrated in a realistic Air Traffic Management (ATM) research simulator developed and hosted at ENAC (École Nationale de l’Aviation Civile of Toulouse, France). Twelve Air Traffic Controller (ATCO) students have been involved in the experiment and they have been asked to perform ATM scenarios with and without the support of the AA solutions. Results demonstrated the effectiveness of the proposed pBCI system, since it enabled the AA mostly during the high-demanding conditions (i.e. overload situations) inducing a reduction of the mental workload under which the ATCOs were operating. On the contrary, as desired, the AA was not activated when workload level was under the threshold, to prevent too low demanding conditions that could bring the operator’s workload level towards potentially dangerous conditions of underload.","author":[{"dropping-particle":"","family":"Aricò","given":"Pietro","non-dropping-particle":"","parse-names":false,"suffix":""},{"dropping-particle":"","family":"Borghini","given":"Gianluca","non-dropping-particle":"","parse-names":false,"suffix":""},{"dropping-particle":"","family":"Flumeri","given":"Gianluca","non-dropping-particle":"Di","parse-names":false,"suffix":""},{"dropping-particle":"","family":"Colosimo","given":"Alfredo","non-dropping-particle":"","parse-names":false,"suffix":""},{"dropping-particle":"","family":"Bonelli","given":"Stefano","non-dropping-particle":"","parse-names":false,"suffix":""},{"dropping-particle":"","family":"Golfetti","given":"Alessia","non-dropping-particle":"","parse-names":false,"suffix":""},{"dropping-particle":"","family":"Pozzi","given":"Simone","non-dropping-particle":"","parse-names":false,"suffix":""},{"dropping-particle":"","family":"Imbert","given":"Jean-Paul","non-dropping-particle":"","parse-names":false,"suffix":""},{"dropping-particle":"","family":"Granger","given":"Géraud","non-dropping-particle":"","parse-names":false,"suffix":""},{"dropping-particle":"","family":"Benhacene","given":"Raïlane","non-dropping-particle":"","parse-names":false,"suffix":""},{"dropping-particle":"","family":"Babiloni","given":"Fabio","non-dropping-particle":"","parse-names":false,"suffix":""}],"container-title":"Frontiers in Human Neuroscience","id":"ITEM-1","issued":{"date-parts":[["2016","10","26"]]},"page":"539","publisher":"Frontiers","title":"Adaptive Automation Triggered by EEG-Based Mental Workload Index: A Passive Brain-Computer Interface Application in Realistic Air Traffic Control Environment","type":"article-journal","volume":"10"},"uris":["http://www.mendeley.com/documents/?uuid=42f1da8c-3f5f-3ef5-8e00-2c04319ff9a2"]},{"id":"ITEM-2","itemData":{"author":[{"dropping-particle":"","family":"Aricò","given":"Pietro","non-dropping-particle":"","parse-names":false,"suffix":""},{"dropping-particle":"","family":"Borghini","given":"Gianluca","non-dropping-particle":"","parse-names":false,"suffix":""},{"dropping-particle":"","family":"Flumeri","given":"Gianluca","non-dropping-particle":"Di","parse-names":false,"suffix":""},{"dropping-particle":"","family":"Colosimo","given":"Alfredo","non-dropping-particle":"","parse-names":false,"suffix":""},{"dropping-particle":"","family":"Pozzi","given":"Simone","non-dropping-particle":"","parse-names":false,"suffix":""},{"dropping-particle":"","family":"Babiloni","given":"Fabio","non-dropping-particle":"","parse-names":false,"suffix":""}],"container-title":"Progress in Brain Research, in press","id":"ITEM-2","issued":{"date-parts":[["2016"]]},"title":"A passive Brain-Computer Interface (p-BCI) application for the mental workload assessment on professional Air Traffic Controllers (ATCOs) during realistic ATC tasks","type":"article-journal"},"uris":["http://www.mendeley.com/documents/?uuid=6c1033fd-348f-46b2-8d19-a1428989db16"]}],"mendeley":{"formattedCitation":"[29], [30]","plainTextFormattedCitation":"[29], [30]","previouslyFormattedCitation":"[29], [30]"},"properties":{"noteIndex":0},"schema":"https://github.com/citation-style-language/schema/raw/master/csl-citation.json"}</w:instrText>
      </w:r>
      <w:r>
        <w:fldChar w:fldCharType="separate"/>
      </w:r>
      <w:r w:rsidRPr="00EE1C5A">
        <w:rPr>
          <w:noProof/>
        </w:rPr>
        <w:t>[29], [30]</w:t>
      </w:r>
      <w:r>
        <w:fldChar w:fldCharType="end"/>
      </w:r>
      <w:r w:rsidRPr="014E3828">
        <w:t>.</w:t>
      </w:r>
    </w:p>
    <w:p w14:paraId="64AA792A" w14:textId="77777777" w:rsidR="00821405" w:rsidRDefault="00821405" w:rsidP="00821405">
      <w:pPr>
        <w:pStyle w:val="BodyText"/>
      </w:pPr>
      <w:r w:rsidRPr="00375272">
        <w:t xml:space="preserve">This evidence showed that the brain electrical activities fundamental for the mental workload evaluation are the theta and alpha EEG rhythms, on the </w:t>
      </w:r>
      <w:r w:rsidRPr="00375272">
        <w:rPr>
          <w:i/>
        </w:rPr>
        <w:t>Pre-Frontal Cortex</w:t>
      </w:r>
      <w:r w:rsidRPr="00375272">
        <w:t xml:space="preserve"> (PFC) and the </w:t>
      </w:r>
      <w:r w:rsidRPr="00375272">
        <w:rPr>
          <w:i/>
        </w:rPr>
        <w:t>Posterior Parietal Cortex</w:t>
      </w:r>
      <w:r w:rsidRPr="00375272">
        <w:t xml:space="preserve"> (PPC) regions. The theta rhythm, especially over the PFC, presents a positive correlation - i.e. increases when the mental workload increases </w:t>
      </w:r>
      <w:r w:rsidRPr="00375272">
        <w:fldChar w:fldCharType="begin" w:fldLock="1"/>
      </w:r>
      <w:r>
        <w:instrText>ADDIN CSL_CITATION {"citationItems":[{"id":"ITEM-1","itemData":{"author":[{"dropping-particle":"","family":"Borghini","given":"Gianluca","non-dropping-particle":"","parse-names":false,"suffix":""},{"dropping-particle":"","family":"Aricò","given":"Pietro","non-dropping-particle":"","parse-names":false,"suffix":""},{"dropping-particle":"","family":"Astolfi","given":"Laura","non-dropping-particle":"","parse-names":false,"suffix":""},{"dropping-particle":"","family":"Toppi","given":"Jlenia","non-dropping-particle":"","parse-names":false,"suffix":""},{"dropping-particle":"","family":"Cincotti","given":"Febo","non-dropping-particle":"","parse-names":false,"suffix":""},{"dropping-particle":"","family":"Mattia","given":"Donatella","non-dropping-particle":"","parse-names":false,"suffix":""},{"dropping-particle":"","family":"Cherubino","given":"Patrizia","non-dropping-particle":"","parse-names":false,"suffix":""},{"dropping-particle":"","family":"Vecchiato","given":"Giovanni","non-dropping-particle":"","parse-names":false,"suffix":""},{"dropping-particle":"","family":"Maglione","given":"Anton Giulio","non-dropping-particle":"","parse-names":false,"suffix":""},{"dropping-particle":"","family":"Graziani","given":"Ilenia","non-dropping-particle":"","parse-names":false,"suffix":""},{"dropping-particle":"","family":"others","given":"","non-dropping-particle":"","parse-names":false,"suffix":""}],"container-title":"2013 35th Annual International Conference of the IEEE Engineering in Medicine and Biology Society (EMBC)","id":"ITEM-1","issued":{"date-parts":[["2013"]]},"page":"6619-6622","title":"Frontal EEG theta changes assess the training improvements of novices in flight simulation tasks","type":"paper-conference"},"uris":["http://www.mendeley.com/documents/?uuid=c8fc5e90-25ba-4f0b-96cc-a128cd4cf676"]}],"mendeley":{"formattedCitation":"[31]","plainTextFormattedCitation":"[31]","previouslyFormattedCitation":"[31]"},"properties":{"noteIndex":0},"schema":"https://github.com/citation-style-language/schema/raw/master/csl-citation.json"}</w:instrText>
      </w:r>
      <w:r w:rsidRPr="00375272">
        <w:fldChar w:fldCharType="separate"/>
      </w:r>
      <w:r w:rsidRPr="00EE1C5A">
        <w:rPr>
          <w:noProof/>
        </w:rPr>
        <w:t>[31]</w:t>
      </w:r>
      <w:r w:rsidRPr="00375272">
        <w:fldChar w:fldCharType="end"/>
      </w:r>
      <w:r w:rsidRPr="00375272">
        <w:t xml:space="preserve">, while the alpha rhythm, especially over the PPC, presents an inverse correlation - i.e. decreases </w:t>
      </w:r>
      <w:r>
        <w:fldChar w:fldCharType="begin" w:fldLock="1"/>
      </w:r>
      <w:r>
        <w:instrText>ADDIN CSL_CITATION {"citationItems":[{"id":"ITEM-1","itemData":{"ISSN":"1047-3211","abstract":"Changes in cortical activity during working memory tasks were examined with electroencephalograms (EEGs) sampled from 115 channels and spatially sharpened with magnetic resonance imaging (MRI)-based finite element deblurring. Eight subjects performed tasks requiring comparison of each stimulus to a preceding one on verbal or spatial attributes. A frontal midline theta rhythm increased in magnitude with increased memory load. Dipole models localized this signal to the region of the anterior cingulate cortex. A slow (low-frequency), parietocentral, alpha signal decreased with increased working memory load. These signals were insensitive to the type of stimulus attribute being processed. A faster (higher-frequency), occipitoparietal, alpha signal was relatively attenuated in the spatial version of the task, especially over the posterior right hemisphere. Theta and alpha signals increased, and overt performance improved, after practice on the tasks. Increases in theta with both increased task difficulty and with practice suggests that focusing attention required more effort after an extended test session. Decreased alpha in the difficult tasks indicates that this signal is inversely related to the amount of cortical resources allocated to task performance. Practice-related increases in alpha suggest that fewer cortical resources are required after skill development. These results serve: (i) to dissociate the effects of task difficulty and practice; (ii) to differentiate the involvement of posterior cortex in spatial versus verbal tasks; (iii) to localize frontal midline theta to the anteromedial cortex; and (iv) to demonstrate the feasibility of using anatomical MRIs to remove the blurring effect of the skull and scalp from the ongoing EEG. The results are discussed with respect to those obtained in a prior study of transient evoked potentials during working memory.","author":[{"dropping-particle":"","family":"Gevins","given":"A.","non-dropping-particle":"","parse-names":false,"suffix":""},{"dropping-particle":"","family":"Smith","given":"M. E.","non-dropping-particle":"","parse-names":false,"suffix":""},{"dropping-particle":"","family":"McEvoy","given":"L.","non-dropping-particle":"","parse-names":false,"suffix":""},{"dropping-particle":"","family":"Yu","given":"D.","non-dropping-particle":"","parse-names":false,"suffix":""}],"container-title":"Cerebral Cortex (New York, N.Y.: 1991)","id":"ITEM-1","issue":"4","issued":{"date-parts":[["1997","6"]]},"language":"eng","page":"374-385","title":"High-resolution EEG mapping of cortical activation related to working memory: effects of task difficulty, type of processing, and practice","title-short":"High-resolution EEG mapping of cortical activation","type":"article-journal","volume":"7"},"uris":["http://www.mendeley.com/documents/?uuid=d26a9563-bf53-4de1-94c8-e64d06f5ece4"]}],"mendeley":{"formattedCitation":"[32]","plainTextFormattedCitation":"[32]","previouslyFormattedCitation":"[32]"},"properties":{"noteIndex":0},"schema":"https://github.com/citation-style-language/schema/raw/master/csl-citation.json"}</w:instrText>
      </w:r>
      <w:r>
        <w:fldChar w:fldCharType="separate"/>
      </w:r>
      <w:r w:rsidRPr="00EE1C5A">
        <w:rPr>
          <w:noProof/>
        </w:rPr>
        <w:t>[32]</w:t>
      </w:r>
      <w:r>
        <w:fldChar w:fldCharType="end"/>
      </w:r>
      <w:r w:rsidRPr="00375272">
        <w:t xml:space="preserve">. In recent studies </w:t>
      </w:r>
      <w:r>
        <w:fldChar w:fldCharType="begin" w:fldLock="1"/>
      </w:r>
      <w:r>
        <w:instrText>ADDIN CSL_CITATION {"citationItems":[{"id":"ITEM-1","itemData":{"DOI":"10.1109/EMBC.2014.6944255","ISBN":"978-1-4244-7929-0","ISSN":"1557-170X","PMID":"25570623","abstract":"The aim of this work was to analyze the possibility to apply a neuroelectrical cognitive metrics for the evaluation of the training level of subjects during the learning of a task employed by Air Traffic Controllers (ATCos). In particular, the Electroencephalogram (EEG), the Electrocardiogram (ECG) and the Electrooculogram (EOG) signals were gathered from a group of students during the execution of an Air Traffic Management (ATM) task, proposed at three different levels of difficulty. The neuroelectrical results were compared with the subjective perception of the task difficulty obtained by the NASA-TLX questionnaires. From these analyses, we suggest that the integration of information derived from the power spectral density (PSD) of the EEG signals, the heart rate (HR) and the eye-blink rate (EBR) return important quantitative information about the training level of the subjects. In particular, by focusing the analysis on the direct and inverse correlation of the frontal PSD theta (4-7 (Hz)) and HR, and of the parietal PSD alpha (10-12 (Hz)) and EBR, respectively, with the degree of mental and emotive engagement, it is possible to obtain useful information about the training improvement across the training sessions.","author":[{"dropping-particle":"","family":"Borghini","given":"G.","non-dropping-particle":"","parse-names":false,"suffix":""},{"dropping-particle":"","family":"Arico","given":"P.","non-dropping-particle":"","parse-names":false,"suffix":""},{"dropping-particle":"","family":"Ferri","given":"F.","non-dropping-particle":"","parse-names":false,"suffix":""},{"dropping-particle":"","family":"Graziani","given":"I.","non-dropping-particle":"","parse-names":false,"suffix":""},{"dropping-particle":"","family":"Pozzi","given":"S.","non-dropping-particle":"","parse-names":false,"suffix":""},{"dropping-particle":"","family":"Napoletano","given":"L.","non-dropping-particle":"","parse-names":false,"suffix":""},{"dropping-particle":"","family":"Imbert","given":"J. P.","non-dropping-particle":"","parse-names":false,"suffix":""},{"dropping-particle":"","family":"Granger","given":"G.","non-dropping-particle":"","parse-names":false,"suffix":""},{"dropping-particle":"","family":"Benhacene","given":"R.","non-dropping-particle":"","parse-names":false,"suffix":""},{"dropping-particle":"","family":"Babiloni","given":"F.","non-dropping-particle":"","parse-names":false,"suffix":""}],"container-title":"2014 36th Annual International Conference of the IEEE Engineering in Medicine and Biology Society","id":"ITEM-1","issued":{"date-parts":[["2014","8"]]},"page":"3005-3008","publisher":"IEEE","title":"A neurophysiological training evaluation metric for Air Traffic Management","type":"paper-conference","volume":"2014"},"uris":["http://www.mendeley.com/documents/?uuid=4912c072-c7f2-301e-9bc9-e0a48c1d87e1"]},{"id":"ITEM-2","itemData":{"DOI":"10.1109/EMBC.2015.7319804","ISBN":"978-1-4244-9271-8","ISSN":"1557-170X","PMID":"26737704","abstract":"In this study, we investigated the possibility to evaluate the impact of different avionic technologies on the mental workload of helicopter's pilots by measuring their brain activity with the EEG during a series of simulated missions carried out at AgustaWestland facilities in Yeovil (UK). The tested avionic technologies were: i) Head-Up Display (HUD); ii) Head-Mounted Display (HMD); iii) Full Conformal symbology (FC); iv) Flight Guidance (FG) symbology; v) Synthetic Vision System (SVS); and vi) Radar Obstacles (RO) detection system. It has been already demonstrated that in cognitive tasks, when the cerebral workload increases the EEG power spectral density (PSD) in theta band over frontal areas increases, and the EEG PSD in alpha band decreases over parietal areas. A mental workload index (MWL) has been here defined as the ratio between the frontal theta and parietal alpha EEG PSD values. Such index has been used for testing and comparing the different avionic technologies. Results suggested that the HUD provided a significant (p&lt;;.05) workload reduction across all the flight scenarios with respect to the other technologies. In addition, the simultaneous use of FC and FG technologies (FC+FG) produced a significant decrement of the workload (p&lt;;.01) with respect to the use of only the FC. Moreover, the use of the SVS technology provided on Head Down Display (HDD) with the simultaneous use of FC+FG and the RO seemed to produce a lower cerebral workload when compared with the use of only the FC. Interestingly, the workload estimation by means of subjective measures, provided by pilots through a NASA-TLX questionnaire, did not provide any significant differences among the different flight scenarios. These results suggested that the proposed MWL cognitive neurometrics could be used as a reliable measure of the user's mental workload, being a valid indicator for the comparison and the test of different avionic technologies.","author":[{"dropping-particle":"","family":"Borghini","given":"Gianluca","non-dropping-particle":"","parse-names":false,"suffix":""},{"dropping-particle":"","family":"Arico","given":"Pietro","non-dropping-particle":"","parse-names":false,"suffix":""},{"dropping-particle":"","family":"Flumeri","given":"Gianluca","non-dropping-particle":"Di","parse-names":false,"suffix":""},{"dropping-particle":"","family":"Salinari","given":"Serenella","non-dropping-particle":"","parse-names":false,"suffix":""},{"dropping-particle":"","family":"Colosimo","given":"Alfredo","non-dropping-particle":"","parse-names":false,"suffix":""},{"dropping-particle":"","family":"Bonelli","given":"Stefano","non-dropping-particle":"","parse-names":false,"suffix":""},{"dropping-particle":"","family":"Napoletano","given":"Linda","non-dropping-particle":"","parse-names":false,"suffix":""},{"dropping-particle":"","family":"Ferreira","given":"Ana","non-dropping-particle":"","parse-names":false,"suffix":""},{"dropping-particle":"","family":"Babiloni","given":"Fabio","non-dropping-particle":"","parse-names":false,"suffix":""}],"container-title":"2015 37th Annual International Conference of the IEEE Engineering in Medicine and Biology Society (EMBC)","id":"ITEM-2","issued":{"date-parts":[["2015","8"]]},"page":"6182-6185","publisher":"IEEE","title":"Avionic technology testing by using a cognitive neurometric index: A study with professional helicopter pilots","type":"paper-conference","volume":"2015"},"uris":["http://www.mendeley.com/documents/?uuid=432e7d89-1534-3aa2-9381-34104eb91f10"]},{"id":"ITEM-3","itemData":{"DOI":"10.1109/TBME.2017.2694856","ISSN":"0018-9294","PMID":"28436837","abstract":"GOAL This minireview aims to highlight recent important aspects to consider and evaluate when passive brain-computer interface (pBCI) systems would be developed and used in operational environments, and remarks future directions of their applications. METHODS Electroencephalography (EEG) based pBCI has become an important tool for real-time analysis of brain activity since it could potentially provide covertly-without distracting the user from the main task-and objectively-not affected by the subjective judgment of an observer or the user itself-information about the operator cognitive state. RESULTS Different examples of pBCI applications in operational environments and new adaptive interface solutions have been presented and described. In addition, a general overview regarding the correct use of machine learning techniques (e.g., which algorithm to use, common pitfalls to avoid, etc.) in the pBCI field has been provided. CONCLUSION Despite recent innovations on algorithms and neurotechnology, pBCI systems are not completely ready to enter the market yet, mainly due to limitations of the EEG electrodes technology, and algorithms reliability and capability in real settings. SIGNIFICANCE High complexity and safety critical systems (e.g., airplanes, ATM interfaces) should adapt their behaviors and functionality accordingly to the user' actual mental state. Thus, technologies (i.e., pBCIs) able to measure in real time the user's mental states would result very useful in such \"high risk\" environments to enhance human machine interaction, and so increase the overall safety.","author":[{"dropping-particle":"","family":"Arico","given":"Pietro","non-dropping-particle":"","parse-names":false,"suffix":""},{"dropping-particle":"","family":"Borghini","given":"Gianluca","non-dropping-particle":"","parse-names":false,"suffix":""},{"dropping-particle":"","family":"Flumeri","given":"Gianluca","non-dropping-particle":"Di","parse-names":false,"suffix":""},{"dropping-particle":"","family":"Sciaraffa","given":"Nicolina","non-dropping-particle":"","parse-names":false,"suffix":""},{"dropping-particle":"","family":"Colosimo","given":"Alfredo","non-dropping-particle":"","parse-names":false,"suffix":""},{"dropping-particle":"","family":"Babiloni","given":"Fabio","non-dropping-particle":"","parse-names":false,"suffix":""}],"container-title":"IEEE Transactions on Biomedical Engineering","id":"ITEM-3","issue":"7","issued":{"date-parts":[["2017","7"]]},"page":"1431-1436","title":"Passive BCI in Operational Environments: Insights, Recent Advances, and Future Trends","type":"article-journal","volume":"64"},"uris":["http://www.mendeley.com/documents/?uuid=73fc57e4-c0c0-3884-b26d-2a9842362d48"]}],"mendeley":{"formattedCitation":"[33]–[35]","plainTextFormattedCitation":"[33]–[35]","previouslyFormattedCitation":"[33]–[35]"},"properties":{"noteIndex":0},"schema":"https://github.com/citation-style-language/schema/raw/master/csl-citation.json"}</w:instrText>
      </w:r>
      <w:r>
        <w:fldChar w:fldCharType="separate"/>
      </w:r>
      <w:r w:rsidRPr="00EE1C5A">
        <w:rPr>
          <w:noProof/>
        </w:rPr>
        <w:t>[33]–[35]</w:t>
      </w:r>
      <w:r>
        <w:fldChar w:fldCharType="end"/>
      </w:r>
      <w:r w:rsidRPr="00375272">
        <w:t>, it has been demonstrated how it was possible to compute, by machine learning techniques and specific brain features, an EEG-based Workload Index able to significantly discriminate the workload demands during realistic tasks</w:t>
      </w:r>
      <w:r>
        <w:t>.</w:t>
      </w:r>
    </w:p>
    <w:p w14:paraId="7AF72C60" w14:textId="77777777" w:rsidR="00821405" w:rsidRDefault="00821405" w:rsidP="00821405">
      <w:pPr>
        <w:pStyle w:val="Heading2"/>
        <w:numPr>
          <w:ilvl w:val="1"/>
          <w:numId w:val="20"/>
        </w:numPr>
      </w:pPr>
      <w:bookmarkStart w:id="35" w:name="_Toc99543111"/>
      <w:bookmarkStart w:id="36" w:name="_Toc103332736"/>
      <w:r>
        <w:t>Stress</w:t>
      </w:r>
      <w:bookmarkEnd w:id="35"/>
      <w:bookmarkEnd w:id="36"/>
    </w:p>
    <w:p w14:paraId="776E6332" w14:textId="410A7758" w:rsidR="00821405" w:rsidRPr="00375272" w:rsidRDefault="00821405" w:rsidP="00821405">
      <w:pPr>
        <w:pStyle w:val="BodyText"/>
      </w:pPr>
      <w:r w:rsidRPr="00375272">
        <w:t xml:space="preserve">Stress is typical defined as a state that occurs when demand outstrips coping strategies </w:t>
      </w:r>
      <w:r>
        <w:fldChar w:fldCharType="begin" w:fldLock="1"/>
      </w:r>
      <w:r>
        <w:instrText>ADDIN CSL_CITATION {"citationItems":[{"id":"ITEM-1","itemData":{"URL":"https://www.scirp.org/(S(czeh2tfqyw2orz553k1w0r45))/reference/ReferencesPapers.aspx?ReferenceID=354005","accessed":{"date-parts":[["2022","1","28"]]},"id":"ITEM-1","issued":{"date-parts":[["0"]]},"title":"Hobfoll, S. E., &amp; Shirom, A. (1993). Stress and burnout in the workplace conservation of resources. In R. T. Golembiewski (Ed.), Handbook of organizational behavior (pp. 41-60). New York M. Dekker. - References - Scientific Research Publishing","type":"webpage"},"uris":["http://www.mendeley.com/documents/?uuid=a44f42ce-7de3-3b70-8e17-ebd71689e593"]}],"mendeley":{"formattedCitation":"[36]","plainTextFormattedCitation":"[36]","previouslyFormattedCitation":"[36]"},"properties":{"noteIndex":0},"schema":"https://github.com/citation-style-language/schema/raw/master/csl-citation.json"}</w:instrText>
      </w:r>
      <w:r>
        <w:fldChar w:fldCharType="separate"/>
      </w:r>
      <w:r w:rsidRPr="00EE1C5A">
        <w:rPr>
          <w:noProof/>
        </w:rPr>
        <w:t>[36]</w:t>
      </w:r>
      <w:r>
        <w:fldChar w:fldCharType="end"/>
      </w:r>
      <w:r w:rsidRPr="00375272">
        <w:t xml:space="preserve">. In realistic context, it is easy to meet up stressful factors as high task demand, uncontrollability, frustration and time pressure and such stressors negatively influence performance altering cognitive processes at the base of decision-making, </w:t>
      </w:r>
      <w:r w:rsidR="00095DBD" w:rsidRPr="00375272">
        <w:t>attention,</w:t>
      </w:r>
      <w:r w:rsidRPr="00375272">
        <w:t xml:space="preserve"> and memory. Laboratory studies have been largely adopted to study correlates of stress using tasks and protocols that are proved to be able to induce stress in a controlled way. According to the literature </w:t>
      </w:r>
      <w:r>
        <w:fldChar w:fldCharType="begin" w:fldLock="1"/>
      </w:r>
      <w:r>
        <w:instrText>ADDIN CSL_CITATION {"citationItems":[{"id":"ITEM-1","itemData":{"DOI":"10.1016/J.PSYNEUEN.2014.10.002","ISSN":"1873-3360","PMID":"25462896","abstract":"Objectives: The phenomenon of stress is understood as a multidimensional concept which can be captured by psychological and physiological measures. There are various laboratory stress protocols which enable stress to be investigated under controlled conditions. However, little is known about whether these protocols differ with regard to the induced psycho-physiological stress response pattern. Methods: In a within-subjects design, 20 healthy young men underwent four of the most common stress protocols (Stroop test [Stroop], cold pressor test [CPT], Trier Social Stress Test [TSST], and bicycle ergometer test [Ergometer]) and a no-stress control condition (rest) in a randomized order. For the multidimensional assessment of the stress response, perceived stress, endocrine and autonomic biomarkers (salivary cortisol, salivary alpha-amylase, and heart rate) were obtained during the experiments. Results: All stress protocols evoked increases in perceived stress levels, with the highest levels in the TSST, followed by Ergometer, Stroop, and CPT. The highest HPA axis response was found in the TSST, followed by Ergometer, CPT, and Stroop, whilst the highest autonomic response was found in the Ergometer, followed by TSST, Stroop, and CPT. Conclusions: These findings suggest that different stress protocols differentially stimulate various aspects of the stress response. Physically demanding stress protocols such as the Ergometer test appear to be particularly suitable for evoking autonomic stress responses, whereas uncontrollable and social-evaluative threatening stressors (such as the TSST) are most likely to elicit HPA axis stress responses. The results of this study may help researchers in deciding which stress protocol to use, depending on the individual research question.","author":[{"dropping-particle":"","family":"Skoluda","given":"Nadine","non-dropping-particle":"","parse-names":false,"suffix":""},{"dropping-particle":"","family":"Strahler","given":"Jana","non-dropping-particle":"","parse-names":false,"suffix":""},{"dropping-particle":"","family":"Schlotz","given":"Wolff","non-dropping-particle":"","parse-names":false,"suffix":""},{"dropping-particle":"","family":"Niederberger","given":"Larissa","non-dropping-particle":"","parse-names":false,"suffix":""},{"dropping-particle":"","family":"Marques","given":"Sofia","non-dropping-particle":"","parse-names":false,"suffix":""},{"dropping-particle":"","family":"Fischer","given":"Susanne","non-dropping-particle":"","parse-names":false,"suffix":""},{"dropping-particle":"V.","family":"Thoma","given":"Myriam","non-dropping-particle":"","parse-names":false,"suffix":""},{"dropping-particle":"","family":"Spoerri","given":"Corinne","non-dropping-particle":"","parse-names":false,"suffix":""},{"dropping-particle":"","family":"Ehlert","given":"Ulrike","non-dropping-particle":"","parse-names":false,"suffix":""},{"dropping-particle":"","family":"Nater","given":"Urs M.","non-dropping-particle":"","parse-names":false,"suffix":""}],"container-title":"Psychoneuroendocrinology","id":"ITEM-1","issued":{"date-parts":[["2015","1","1"]]},"page":"227-236","publisher":"Psychoneuroendocrinology","title":"Intra-individual psychological and physiological responses to acute laboratory stressors of different intensity","type":"article-journal","volume":"51"},"uris":["http://www.mendeley.com/documents/?uuid=c8518412-3456-3252-a061-e6d9f391fd67"]}],"mendeley":{"formattedCitation":"[37]","plainTextFormattedCitation":"[37]","previouslyFormattedCitation":"[37]"},"properties":{"noteIndex":0},"schema":"https://github.com/citation-style-language/schema/raw/master/csl-citation.json"}</w:instrText>
      </w:r>
      <w:r>
        <w:fldChar w:fldCharType="separate"/>
      </w:r>
      <w:r w:rsidRPr="00EE1C5A">
        <w:rPr>
          <w:noProof/>
        </w:rPr>
        <w:t>[37]</w:t>
      </w:r>
      <w:r>
        <w:fldChar w:fldCharType="end"/>
      </w:r>
      <w:r w:rsidRPr="00375272">
        <w:t xml:space="preserve">, one of the most effective stressors consists in exposing a participant to a negative judgment. In fact, when negative feedbacks are provided to the participant, stressful sensations based on </w:t>
      </w:r>
      <w:r w:rsidRPr="00375272">
        <w:rPr>
          <w:i/>
        </w:rPr>
        <w:t>frustration</w:t>
      </w:r>
      <w:r w:rsidRPr="00375272">
        <w:t xml:space="preserve"> will cause </w:t>
      </w:r>
      <w:r w:rsidRPr="00375272">
        <w:rPr>
          <w:i/>
        </w:rPr>
        <w:t xml:space="preserve">time pressure </w:t>
      </w:r>
      <w:r w:rsidRPr="00375272">
        <w:t xml:space="preserve">and make the task </w:t>
      </w:r>
      <w:r w:rsidRPr="00375272">
        <w:rPr>
          <w:i/>
        </w:rPr>
        <w:t xml:space="preserve">harder. </w:t>
      </w:r>
    </w:p>
    <w:p w14:paraId="60E06CF9" w14:textId="77777777" w:rsidR="00821405" w:rsidRPr="00375272" w:rsidRDefault="00821405" w:rsidP="00821405">
      <w:pPr>
        <w:pStyle w:val="BodyText"/>
      </w:pPr>
      <w:r w:rsidRPr="09C80A3E">
        <w:t>Classical biochemical markers for stress are cortisol and epinephrine, which will increase rapidly to stress exposure. However, it is difficult to measure the human cortisol level continuously and without interfering with the activities performed by the participant.</w:t>
      </w:r>
    </w:p>
    <w:p w14:paraId="1CC17762" w14:textId="77777777" w:rsidR="00821405" w:rsidRPr="00375272" w:rsidRDefault="00821405" w:rsidP="00821405">
      <w:pPr>
        <w:pStyle w:val="BodyText"/>
      </w:pPr>
      <w:r w:rsidRPr="00375272">
        <w:lastRenderedPageBreak/>
        <w:t xml:space="preserve">In this sense, a </w:t>
      </w:r>
      <w:r w:rsidRPr="00375272">
        <w:rPr>
          <w:i/>
        </w:rPr>
        <w:t>gold standard</w:t>
      </w:r>
      <w:r w:rsidRPr="00375272">
        <w:t xml:space="preserve"> among the non-invasive measure of the stress level is the analysis of the skin conductance. In fact, when an individual is under mental stress, sweat gland activity is activated, thus reflecting in the skin conductance increasing. Since the sweat glands are also controlled by the Sympathetic Nervous System (SNS), skin conductance acts as an indicator for sympathetic activation due to the stress reaction </w:t>
      </w:r>
      <w:r>
        <w:fldChar w:fldCharType="begin" w:fldLock="1"/>
      </w:r>
      <w:r>
        <w:instrText>ADDIN CSL_CITATION {"citationItems":[{"id":"ITEM-1","itemData":{"DOI":"10.1016/j.ijpsycho.2008.07.009","ISSN":"01678760","author":[{"dropping-particle":"","family":"Sequeira","given":"Henrique","non-dropping-particle":"","parse-names":false,"suffix":""},{"dropping-particle":"","family":"Hot","given":"Pascal","non-dropping-particle":"","parse-names":false,"suffix":""},{"dropping-particle":"","family":"Silvert","given":"Laetitia","non-dropping-particle":"","parse-names":false,"suffix":""},{"dropping-particle":"","family":"Delplanque","given":"Sylvain","non-dropping-particle":"","parse-names":false,"suffix":""}],"container-title":"International Journal of Psychophysiology","id":"ITEM-1","issue":"1","issued":{"date-parts":[["2009","1"]]},"language":"en","page":"50-56","title":"Electrical autonomic correlates of emotion","type":"article-journal","volume":"71"},"uris":["http://www.mendeley.com/documents/?uuid=6f5abe7e-f2fc-4df9-8bc2-f080bdb50764"]}],"mendeley":{"formattedCitation":"[38]","plainTextFormattedCitation":"[38]","previouslyFormattedCitation":"[38]"},"properties":{"noteIndex":0},"schema":"https://github.com/citation-style-language/schema/raw/master/csl-citation.json"}</w:instrText>
      </w:r>
      <w:r>
        <w:fldChar w:fldCharType="separate"/>
      </w:r>
      <w:r w:rsidRPr="00EE1C5A">
        <w:rPr>
          <w:noProof/>
        </w:rPr>
        <w:t>[38]</w:t>
      </w:r>
      <w:r>
        <w:fldChar w:fldCharType="end"/>
      </w:r>
      <w:r w:rsidRPr="00375272">
        <w:t xml:space="preserve">. In general, it has been widely demonstrated that the Skin Conductance, in both its two components the Skin Conductance Level (SCR) and Response (SCR), increases as the stress increases </w:t>
      </w:r>
      <w:r>
        <w:fldChar w:fldCharType="begin" w:fldLock="1"/>
      </w:r>
      <w:r>
        <w:instrText>ADDIN CSL_CITATION {"citationItems":[{"id":"ITEM-1","itemData":{"ISBN":"9781461411253","abstract":"2nd ed. Annotation Electrodermal activity is one of the most frequently used psychophysiological evaluations in psychology research. Based on the 1992 edition of this work Electrodermal Activity covers advances in the field since the first publication in 1992. The current volume includes updated information on brain imaging techniques such as PET and fMRI, which provide further insight into the brain mechanisms underlying EDA. In addition, this volume is able to describe more reliably hypotheses that have been successfully tested since the first publication.","author":[{"dropping-particle":"","family":"Boucsein","given":"Wolfram.","non-dropping-particle":"","parse-names":false,"suffix":""}],"id":"ITEM-1","issued":{"date-parts":[["2012"]]},"number-of-pages":"618","publisher":"Springer Science+Business Media, LLC","title":"Electrodermal activity","type":"book"},"uris":["http://www.mendeley.com/documents/?uuid=864be40e-19f8-3b50-8007-d71e1aed699c"]}],"mendeley":{"formattedCitation":"[39]","plainTextFormattedCitation":"[39]","previouslyFormattedCitation":"[39]"},"properties":{"noteIndex":0},"schema":"https://github.com/citation-style-language/schema/raw/master/csl-citation.json"}</w:instrText>
      </w:r>
      <w:r>
        <w:fldChar w:fldCharType="separate"/>
      </w:r>
      <w:r w:rsidRPr="00EE1C5A">
        <w:rPr>
          <w:noProof/>
        </w:rPr>
        <w:t>[39]</w:t>
      </w:r>
      <w:r>
        <w:fldChar w:fldCharType="end"/>
      </w:r>
      <w:r w:rsidRPr="00375272">
        <w:t>.</w:t>
      </w:r>
    </w:p>
    <w:p w14:paraId="450DA5CC" w14:textId="77777777" w:rsidR="00821405" w:rsidRDefault="00821405" w:rsidP="00821405">
      <w:pPr>
        <w:pStyle w:val="BodyText"/>
      </w:pPr>
      <w:r w:rsidRPr="00375272">
        <w:t xml:space="preserve">Finally, the EEG stress assessment is possible thanks to its high temporal resolution and the possibility to directly access to </w:t>
      </w:r>
      <w:r w:rsidRPr="00375272">
        <w:rPr>
          <w:i/>
        </w:rPr>
        <w:t>Central Nervous System</w:t>
      </w:r>
      <w:r w:rsidRPr="00375272">
        <w:t xml:space="preserve"> (CNS) activity </w:t>
      </w:r>
      <w:r>
        <w:fldChar w:fldCharType="begin" w:fldLock="1"/>
      </w:r>
      <w:r>
        <w:instrText>ADDIN CSL_CITATION {"citationItems":[{"id":"ITEM-1","itemData":{"DOI":"10.1038/s41598-020-65610-z","ISSN":"20452322","PMID":"32451424","abstract":"Stress is a word used to describe human reactions to emotionally, cognitively and physically challenging experiences. A hallmark of the stress response is the activation of the autonomic nervous system, resulting in the “fight-freeze-flight” response to a threat from a dangerous situation. Consequently, the capability to objectively assess and track a controller’s stress level while dealing with air traffic control (ATC) activities would make it possible to better tailor the work shift and maintain high safety levels, as well as to preserve the operator’s health. In this regard, sixteen controllers were asked to perform a realistic air traffic management (ATM) simulation during which subjective data (i.e. stress perception) and neurophysiological data (i.e. brain activity, heart rate, and galvanic skin response) were collected with the aim of accurately characterising the controller’s stress level experienced in the various experimental conditions. In addition, external supervisors regularly evaluated the controllers in terms of manifested stress, safety, and efficiency throughout the ATM scenario. The results demonstrated 1) how the stressful events caused both supervisors and controllers to underestimate the experienced stress level, 2) the advantage of taking into account both cognitive and hormonal processes in order to define a reliable stress index, and 3) the importance of the points in time at which stress is measured owing to the potential transient effect once the stressful events have ceased.","author":[{"dropping-particle":"","family":"Borghini","given":"Gianluca","non-dropping-particle":"","parse-names":false,"suffix":""},{"dropping-particle":"","family":"Flumeri","given":"Gianluca","non-dropping-particle":"Di","parse-names":false,"suffix":""},{"dropping-particle":"","family":"Aricò","given":"Pietro","non-dropping-particle":"","parse-names":false,"suffix":""},{"dropping-particle":"","family":"Sciaraffa","given":"Nicolina","non-dropping-particle":"","parse-names":false,"suffix":""},{"dropping-particle":"","family":"Bonelli","given":"Stefano","non-dropping-particle":"","parse-names":false,"suffix":""},{"dropping-particle":"","family":"Ragosta","given":"Martina","non-dropping-particle":"","parse-names":false,"suffix":""},{"dropping-particle":"","family":"Tomasello","given":"Paola","non-dropping-particle":"","parse-names":false,"suffix":""},{"dropping-particle":"","family":"Drogoul","given":"Fabrice","non-dropping-particle":"","parse-names":false,"suffix":""},{"dropping-particle":"","family":"Turhan","given":"Uğur","non-dropping-particle":"","parse-names":false,"suffix":""},{"dropping-particle":"","family":"Acikel","given":"Birsen","non-dropping-particle":"","parse-names":false,"suffix":""},{"dropping-particle":"","family":"Ozan","given":"Ali","non-dropping-particle":"","parse-names":false,"suffix":""},{"dropping-particle":"","family":"Imbert","given":"Jean Paul","non-dropping-particle":"","parse-names":false,"suffix":""},{"dropping-particle":"","family":"Granger","given":"Géraud","non-dropping-particle":"","parse-names":false,"suffix":""},{"dropping-particle":"","family":"Benhacene","given":"Railane","non-dropping-particle":"","parse-names":false,"suffix":""},{"dropping-particle":"","family":"Babiloni","given":"Fabio","non-dropping-particle":"","parse-names":false,"suffix":""}],"container-title":"Scientific Reports","id":"ITEM-1","issue":"1","issued":{"date-parts":[["2020","12","1"]]},"page":"1-18","publisher":"Nature Research","title":"A multimodal and signals fusion approach for assessing the impact of stressful events on Air Traffic Controllers","type":"article-journal","volume":"10"},"uris":["http://www.mendeley.com/documents/?uuid=ef32bb0d-b8b1-35e0-85bb-f8b57db1e818"]}],"mendeley":{"formattedCitation":"[40]","plainTextFormattedCitation":"[40]","previouslyFormattedCitation":"[40]"},"properties":{"noteIndex":0},"schema":"https://github.com/citation-style-language/schema/raw/master/csl-citation.json"}</w:instrText>
      </w:r>
      <w:r>
        <w:fldChar w:fldCharType="separate"/>
      </w:r>
      <w:r w:rsidRPr="00EE1C5A">
        <w:rPr>
          <w:noProof/>
        </w:rPr>
        <w:t>[40]</w:t>
      </w:r>
      <w:r>
        <w:fldChar w:fldCharType="end"/>
      </w:r>
      <w:r w:rsidRPr="00375272">
        <w:t xml:space="preserve">. From this point of view, it has been assessed that in presence of stressors, there is decreasing alpha power in prefrontal cortex and increasing in beta in temporal and parietal sites </w:t>
      </w:r>
      <w:r>
        <w:fldChar w:fldCharType="begin" w:fldLock="1"/>
      </w:r>
      <w:r>
        <w:instrText>ADDIN CSL_CITATION {"citationItems":[{"id":"ITEM-1","itemData":{"DOI":"10.1364/BOE.7.003882","ISSN":"2156-7085","PMID":"27867700","abstract":"Previous studies reported mental stress as one of the major contributing factors leading to various diseases such as heart attack, depression and stroke. An accurate stress assessment method may thus be of importance to clinical intervention and disease prevention. We propose a joint independent component analysis (jICA) based approach to fuse simultaneous measurement of electroencephalography (EEG) and functional near-infrared spectroscopy (fNIRS) on the prefrontal cortex (PFC) as a means of stress assessment. For the purpose of this study, stress was induced by using an established mental arithmetic task under time pressure with negative feedback. The induction of mental stress was confirmed by salivary alpha amylase test. Experiment results showed that the proposed fusion of EEG and fNIRS measurements improves the classification accuracy of mental stress by +3.4% compared to EEG alone and +11% compared to fNIRS alone. Similar improvements were also observed in sensitivity and specificity of proposed approach over unimodal EEG/fNIRS. Our study suggests that combination of EEG (frontal alpha rhythm) and fNIRS (concentration change of oxygenated hemoglobin) could be a potential means to assess mental stress objectively.","author":[{"dropping-particle":"","family":"Al-Shargie","given":"Fares","non-dropping-particle":"","parse-names":false,"suffix":""},{"dropping-particle":"","family":"Kiguchi","given":"Masashi","non-dropping-particle":"","parse-names":false,"suffix":""},{"dropping-particle":"","family":"Badruddin","given":"Nasreen","non-dropping-particle":"","parse-names":false,"suffix":""},{"dropping-particle":"","family":"Dass","given":"Sarat C.","non-dropping-particle":"","parse-names":false,"suffix":""},{"dropping-particle":"","family":"Hani","given":"Ahmad Fadzil Mohammad","non-dropping-particle":"","parse-names":false,"suffix":""},{"dropping-particle":"","family":"Tang","given":"Tong Boon","non-dropping-particle":"","parse-names":false,"suffix":""}],"container-title":"Biomedical Optics Express","id":"ITEM-1","issue":"10","issued":{"date-parts":[["2016","10","1"]]},"page":"3882","publisher":"Optical Society of America","title":"Mental stress assessment using simultaneous measurement of EEG and fNIRS","type":"article-journal","volume":"7"},"uris":["http://www.mendeley.com/documents/?uuid=6eac8c6a-df17-3d86-ba79-9ecf537ab06b"]}],"mendeley":{"formattedCitation":"[41]","plainTextFormattedCitation":"[41]","previouslyFormattedCitation":"[41]"},"properties":{"noteIndex":0},"schema":"https://github.com/citation-style-language/schema/raw/master/csl-citation.json"}</w:instrText>
      </w:r>
      <w:r>
        <w:fldChar w:fldCharType="separate"/>
      </w:r>
      <w:r w:rsidRPr="00EE1C5A">
        <w:rPr>
          <w:noProof/>
        </w:rPr>
        <w:t>[41]</w:t>
      </w:r>
      <w:r>
        <w:fldChar w:fldCharType="end"/>
      </w:r>
      <w:r w:rsidRPr="00375272">
        <w:t>. Moreover, a correlation between cortisol and beta EEG band has been found</w:t>
      </w:r>
      <w:r>
        <w:t xml:space="preserve"> </w:t>
      </w:r>
      <w:r>
        <w:fldChar w:fldCharType="begin" w:fldLock="1"/>
      </w:r>
      <w:r>
        <w:instrText>ADDIN CSL_CITATION {"citationItems":[{"id":"ITEM-1","itemData":{"DOI":"10.5772/9651","ISBN":"978-953-307-068-1","abstract":"User interface (UI) centric embedded systems such as smart phones, tablets, and smart TVs are ever proliferating. While many model-based UI development environments provide automatic UI executable generation, they are focused on web-based systems and not suitable for embedded systems. Accordingly, developers create a separate UI model for each target embedded system while failing to reuse their UI models.This paper proposes differential logical UI modeling (DLUM) that solves these difficulties. DLUM comprises (1) a graphical modeling language for logical UI model (LUM) and differential LUM, (2) a method for deriving a UI implementation by weaving a base LUM and a differential LUM, and (3) its supporting tool. DLUM enables developers to model only differential parts of UI models compared to a base model. DLU generates LUM from differential LUM, which consequently enables deriving complete UI implementations. We have fully implemented a modeling tool for DLUM as Eclipse plug-in using Eclipse Graphical Modeling Framework (GMF). We have also performed a case study with an alarm application in Android targeted for multiple embedded systems with various resolutions from HVGA to XGA. The case study clearly shows how DLUM makes the modeling of UIs for embedded systems concise and allows reusing UIs for multiple embedded systems. © 2012 Springer-Verlag.","author":[{"dropping-particle":"","family":"Seo","given":"Ssang-Hee","non-dropping-particle":"","parse-names":false,"suffix":""},{"dropping-particle":"","family":"Lee","given":"Jung-Tae","non-dropping-particle":"","parse-names":false,"suffix":""}],"container-title":"Convergence and Hybrid Information Technologies","id":"ITEM-1","issued":{"date-parts":[["2010","3","1"]]},"publisher":"IntechOpen","title":"Stress and EEG","type":"article-journal"},"uris":["http://www.mendeley.com/documents/?uuid=86556189-0230-38db-898a-7365c800578f"]}],"mendeley":{"formattedCitation":"[42]","plainTextFormattedCitation":"[42]","previouslyFormattedCitation":"[42]"},"properties":{"noteIndex":0},"schema":"https://github.com/citation-style-language/schema/raw/master/csl-citation.json"}</w:instrText>
      </w:r>
      <w:r>
        <w:fldChar w:fldCharType="separate"/>
      </w:r>
      <w:r w:rsidRPr="00EE1C5A">
        <w:rPr>
          <w:noProof/>
        </w:rPr>
        <w:t>[42]</w:t>
      </w:r>
      <w:r>
        <w:fldChar w:fldCharType="end"/>
      </w:r>
      <w:r w:rsidRPr="00375272">
        <w:t xml:space="preserve">. In different contexts, it has been proved that stress condition induced brain activations asymmetry </w:t>
      </w:r>
      <w:r>
        <w:fldChar w:fldCharType="begin" w:fldLock="1"/>
      </w:r>
      <w:r>
        <w:instrText>ADDIN CSL_CITATION {"citationItems":[{"id":"ITEM-1","itemData":{"DOI":"10.1109/CSPA.2009.5069249","ISBN":"9781424441501","abstract":"This research investigates the effects of five sessions of Horizontal Rotation (HR) on human brainwaves synchronization using EEG. EEG signals were captured from 42 participants before and after undergoing HR using two-channel bipolar connection in a controlled environment. The signals were filtered and classified into the four frequency bands; Delta, Theta, Alpha and Beta. Graphs were plotted and paired T-test analysis was used to demonstrate the correlation between left and right brainwaves before and after HR to verify brainwave synchronization. It was observed that after five sessions of HR, brainwaves were more synchronized for all frequency bands with highest increment of 37% in Delta band while the lowest increment is at 6% for Theta band. Thus, there was evidence that HR could synchronize brainwaves. ©2009 IEEE.","author":[{"dropping-particle":"","family":"Murat","given":"Zunairah Hj","non-dropping-particle":"","parse-names":false,"suffix":""},{"dropping-particle":"","family":"Taib","given":"Mohd Nasir","non-dropping-particle":"","parse-names":false,"suffix":""},{"dropping-particle":"","family":"Hanafiah","given":"Zodie Mohamed","non-dropping-particle":"","parse-names":false,"suffix":""},{"dropping-particle":"","family":"Lias","given":"Sahrim","non-dropping-particle":"","parse-names":false,"suffix":""},{"dropping-particle":"","family":"Kadir","given":"Ros Shilawani S.Abdul","non-dropping-particle":"","parse-names":false,"suffix":""},{"dropping-particle":"","family":"Rahman","given":"Husna Abdul","non-dropping-particle":"","parse-names":false,"suffix":""}],"container-title":"Proceedings of 2009 5th International Colloquium on Signal Processing and Its Applications, CSPA 2009","id":"ITEM-1","issued":{"date-parts":[["2009"]]},"page":"350-354","title":"Initial investigation of brainwave synchronization after five sessions of horizontal rotation intervention using EEG","type":"article-journal"},"uris":["http://www.mendeley.com/documents/?uuid=7ebb2e01-9839-332e-ae45-4f06fd251070"]}],"mendeley":{"formattedCitation":"[43]","plainTextFormattedCitation":"[43]","previouslyFormattedCitation":"[43]"},"properties":{"noteIndex":0},"schema":"https://github.com/citation-style-language/schema/raw/master/csl-citation.json"}</w:instrText>
      </w:r>
      <w:r>
        <w:fldChar w:fldCharType="separate"/>
      </w:r>
      <w:r w:rsidRPr="00EE1C5A">
        <w:rPr>
          <w:noProof/>
        </w:rPr>
        <w:t>[43]</w:t>
      </w:r>
      <w:r>
        <w:fldChar w:fldCharType="end"/>
      </w:r>
      <w:r w:rsidRPr="00375272">
        <w:t xml:space="preserve">: it has been demonstrated that the right brain hemisphere is mainly involved in cortisol production than the left hemisphere </w:t>
      </w:r>
      <w:r>
        <w:fldChar w:fldCharType="begin" w:fldLock="1"/>
      </w:r>
      <w:r>
        <w:instrText>ADDIN CSL_CITATION {"citationItems":[{"id":"ITEM-1","itemData":{"DOI":"10.1016/J.BIOPSYCHO.2007.03.004","ISSN":"0301-0511","PMID":"17512106","abstract":"The aim of the current study was to investigate the effect of a naturalistic stressor, examination stress, on frontal EEG asymmetry, psychological stress, hormonal stress, and negative health. Forty-nine subjects were tested during periods of low and high examination stress. During the high examination stress period, subjects reported higher levels of stress on the Spielberger State Anxiety Inventory and Cohen's Perceived Stress Scale. However, no change in cortisol was detected across the two sessions. Furthermore, a shift from relatively greater left frontal activity during the low examination session to relatively greater right frontal activity during the high examination session was also found. Moreover, the increasing right frontal activity asymmetry associated with the high exam session compared to the low exam session correlated with increasing reports of negative health. No evidence was found for the prediction that cortisol mediated either the relationship between examination stressor and right frontal asymmetry or between right frontal asymmetry and negative health. In conclusion, while the findings from this study are compelling, the mechanism mediating increases in psychological stress, relatively greater right frontal activity, and increases in negative health from naturally occurring stressors is in need of further investigation. © 2007 Elsevier B.V. All rights reserved.","author":[{"dropping-particle":"","family":"Lewis","given":"Richard S.","non-dropping-particle":"","parse-names":false,"suffix":""},{"dropping-particle":"","family":"Weekes","given":"Nicole Y.","non-dropping-particle":"","parse-names":false,"suffix":""},{"dropping-particle":"","family":"Wang","given":"Tracy H.","non-dropping-particle":"","parse-names":false,"suffix":""}],"container-title":"Biological psychology","id":"ITEM-1","issue":"3","issued":{"date-parts":[["2007","7"]]},"page":"239-247","publisher":"Biol Psychol","title":"The effect of a naturalistic stressor on frontal EEG asymmetry, stress, and health","type":"article-journal","volume":"75"},"uris":["http://www.mendeley.com/documents/?uuid=3c2779e8-de54-3ea3-b381-9c240d644d8b"]}],"mendeley":{"formattedCitation":"[44]","plainTextFormattedCitation":"[44]","previouslyFormattedCitation":"[44]"},"properties":{"noteIndex":0},"schema":"https://github.com/citation-style-language/schema/raw/master/csl-citation.json"}</w:instrText>
      </w:r>
      <w:r>
        <w:fldChar w:fldCharType="separate"/>
      </w:r>
      <w:r w:rsidRPr="00EE1C5A">
        <w:rPr>
          <w:noProof/>
        </w:rPr>
        <w:t>[44]</w:t>
      </w:r>
      <w:r>
        <w:fldChar w:fldCharType="end"/>
      </w:r>
      <w:r>
        <w:t>.</w:t>
      </w:r>
    </w:p>
    <w:p w14:paraId="379E499E" w14:textId="49914269" w:rsidR="00821405" w:rsidRDefault="00821405" w:rsidP="00821405">
      <w:pPr>
        <w:pStyle w:val="BodyText"/>
      </w:pPr>
      <w:bookmarkStart w:id="37" w:name="_Hlk99525721"/>
      <w:r>
        <w:t>In relation with the previous project STRESS (GA</w:t>
      </w:r>
      <w:r w:rsidRPr="00D148A1">
        <w:t>699381</w:t>
      </w:r>
      <w:r>
        <w:t xml:space="preserve">), in which a comprehensive assessment of stress state from a neurophysiological point of view was provided, the Artimation project will test a lighter version of the Stress neurophysiological index, by using just few EEG sensors in the parietal part of the head </w:t>
      </w:r>
      <w:r>
        <w:fldChar w:fldCharType="begin" w:fldLock="1"/>
      </w:r>
      <w:r>
        <w:instrText>ADDIN CSL_CITATION {"citationItems":[{"id":"ITEM-1","itemData":{"DOI":"10.3390/BRAINSCI12030304","ISSN":"2076-3425","abstract":"Driver&amp;rsquo;s stress affects decision-making and the probability of risk occurrence, and it is therefore a key factor in road safety. This suggests the need for continuous stress monitoring. This work aims at validating a stress neurophysiological measure&amp;mdash;a Neurometric&amp;mdash;for out-of-the-lab use obtained from lightweight EEG relying on two wet sensors, in real-time, and without calibration. The Neurometric was tested during a multitasking experiment and validated with a realistic driving simulator. Twenty subjects participated in the experiment, and the resulting stress Neurometric was compared with the Random Forest (RF) model, calibrated by using EEG features and both intra-subject and cross-task approaches. The Neurometric was also compared with a measure based on skin conductance level (SCL), representing one of the physiological parameters investigated in the literature mostly correlated with stress variations. We found that during both multitasking and realistic driving experiments, the Neurometric was able to discriminate between low and high levels of stress with an average Area Under Curve (AUC) value higher than 0.9. Furthermore, the stress Neurometric showed higher AUC and stability than both the SCL measure and the RF calibrated with a cross-task approach. In conclusion, the Neurometric proposed in this work proved to be suitable for out-of-the-lab monitoring of stress levels.","author":[{"dropping-particle":"","family":"Sciaraffa","given":"Nicolina","non-dropping-particle":"","parse-names":false,"suffix":""},{"dropping-particle":"","family":"Flumeri","given":"Gianluca","non-dropping-particle":"Di","parse-names":false,"suffix":""},{"dropping-particle":"","family":"Germano","given":"Daniele","non-dropping-particle":"","parse-names":false,"suffix":""},{"dropping-particle":"","family":"Giorgi","given":"Andrea","non-dropping-particle":"","parse-names":false,"suffix":""},{"dropping-particle":"","family":"Florio","given":"Antonio","non-dropping-particle":"Di","parse-names":false,"suffix":""},{"dropping-particle":"","family":"Borghini","given":"Gianluca","non-dropping-particle":"","parse-names":false,"suffix":""},{"dropping-particle":"","family":"Vozzi","given":"Alessia","non-dropping-particle":"","parse-names":false,"suffix":""},{"dropping-particle":"","family":"Ronca","given":"Vincenzo","non-dropping-particle":"","parse-names":false,"suffix":""},{"dropping-particle":"","family":"Varga","given":"Rodrigo","non-dropping-particle":"","parse-names":false,"suffix":""},{"dropping-particle":"","family":"Gasteren","given":"Marteyn","non-dropping-particle":"van","parse-names":false,"suffix":""},{"dropping-particle":"","family":"Babiloni","given":"Fabio","non-dropping-particle":"","parse-names":false,"suffix":""},{"dropping-particle":"","family":"Aricò","given":"Pietro","non-dropping-particle":"","parse-names":false,"suffix":""}],"container-title":"Brain Sciences 2022, Vol. 12, Page 304","id":"ITEM-1","issue":"3","issued":{"date-parts":[["2022","2","24"]]},"page":"304","publisher":"Multidisciplinary Digital Publishing Institute","title":"Validation of a Light EEG-Based Measure for Real-Time Stress Monitoring during Realistic Driving","type":"article-journal","volume":"12"},"uris":["http://www.mendeley.com/documents/?uuid=40be54cd-08c7-3b2f-a9d3-a0a47723241c"]}],"mendeley":{"formattedCitation":"[45]","plainTextFormattedCitation":"[45]","previouslyFormattedCitation":"[45]"},"properties":{"noteIndex":0},"schema":"https://github.com/citation-style-language/schema/raw/master/csl-citation.json"}</w:instrText>
      </w:r>
      <w:r>
        <w:fldChar w:fldCharType="separate"/>
      </w:r>
      <w:r w:rsidRPr="00DC728B">
        <w:rPr>
          <w:noProof/>
        </w:rPr>
        <w:t>[45]</w:t>
      </w:r>
      <w:r>
        <w:fldChar w:fldCharType="end"/>
      </w:r>
      <w:r>
        <w:t xml:space="preserve">. This will have clear impact on future use of this technology in the ATM field, in which biosignals technology </w:t>
      </w:r>
      <w:r w:rsidR="00095DBD">
        <w:t>must</w:t>
      </w:r>
      <w:r>
        <w:t xml:space="preserve"> be minimally invasive to be accepted and employed in operational field.</w:t>
      </w:r>
      <w:bookmarkEnd w:id="37"/>
      <w:r>
        <w:t xml:space="preserve">   </w:t>
      </w:r>
    </w:p>
    <w:p w14:paraId="4E7B0951" w14:textId="77777777" w:rsidR="00821405" w:rsidRDefault="00821405" w:rsidP="00821405">
      <w:pPr>
        <w:pStyle w:val="Heading2"/>
        <w:numPr>
          <w:ilvl w:val="1"/>
          <w:numId w:val="20"/>
        </w:numPr>
      </w:pPr>
      <w:bookmarkStart w:id="38" w:name="_Toc99543112"/>
      <w:bookmarkStart w:id="39" w:name="_Toc103332737"/>
      <w:r>
        <w:t>Approach-Withdrawal</w:t>
      </w:r>
      <w:bookmarkEnd w:id="38"/>
      <w:bookmarkEnd w:id="39"/>
    </w:p>
    <w:p w14:paraId="612136E0" w14:textId="6E4A4FA2" w:rsidR="00821405" w:rsidRDefault="00821405" w:rsidP="00821405">
      <w:pPr>
        <w:pStyle w:val="BodyText"/>
      </w:pPr>
      <w:r w:rsidRPr="00375272">
        <w:t xml:space="preserve">Approach and withdrawal refer to how quickly and easily a person adjusts to changes or new situations. Some individuals may find it easy to adapt to new situations and are likely to jump in and meet new people or try new things. Others, whose style is withdrawing, tend to need more time to warm up to new situations; they may hang back before they join in. That’s why this concept could be very useful to assess the </w:t>
      </w:r>
      <w:bookmarkStart w:id="40" w:name="_Hlk99526512"/>
      <w:r>
        <w:t>acceptability</w:t>
      </w:r>
      <w:r w:rsidRPr="00375272">
        <w:t xml:space="preserve"> </w:t>
      </w:r>
      <w:bookmarkEnd w:id="40"/>
      <w:r w:rsidRPr="00375272">
        <w:t>and consequent motivation towards a certain stimulus. A large body of research on the relation between emotion and motivation has postulated the</w:t>
      </w:r>
      <w:r>
        <w:t xml:space="preserve"> </w:t>
      </w:r>
      <w:r w:rsidRPr="00375272">
        <w:t>existence of two overarching motivational systems that organize behavior. One</w:t>
      </w:r>
      <w:r>
        <w:t xml:space="preserve"> </w:t>
      </w:r>
      <w:r w:rsidRPr="00375272">
        <w:t>system</w:t>
      </w:r>
      <w:r>
        <w:t xml:space="preserve"> </w:t>
      </w:r>
      <w:r w:rsidRPr="00375272">
        <w:t>involves behavior prompted by a possible desirable outcome, whereas the other involves</w:t>
      </w:r>
      <w:r>
        <w:t xml:space="preserve"> </w:t>
      </w:r>
      <w:r w:rsidRPr="00375272">
        <w:t xml:space="preserve">behavior prompted by a possible aversive outcome. </w:t>
      </w:r>
      <w:r w:rsidRPr="001005C5">
        <w:t xml:space="preserve">A number of such models have been proposed, including Dickinson and Dearing's, 1979 </w:t>
      </w:r>
      <w:r>
        <w:fldChar w:fldCharType="begin" w:fldLock="1"/>
      </w:r>
      <w:r>
        <w:instrText>ADDIN CSL_CITATION {"citationItems":[{"id":"ITEM-1","itemData":{"URL":"https://www.taylorfrancis.com/chapters/mono/10.4324/9781315802435-12/appetitive-aversive-interactions-inhibitory-processes-dickinson-boakes","accessed":{"date-parts":[["2022","1","28"]]},"id":"ITEM-1","issued":{"date-parts":[["0"]]},"title":"APPETITIVE-AVERSIVE INTERACTIONS AND INHIBITORY PROCESSES | A. Dickins","type":"webpage"},"uris":["http://www.mendeley.com/documents/?uuid=87399ffa-a9ce-325d-aa65-a0fbe2c1ef85"]}],"mendeley":{"formattedCitation":"[46]","plainTextFormattedCitation":"[46]","previouslyFormattedCitation":"[46]"},"properties":{"noteIndex":0},"schema":"https://github.com/citation-style-language/schema/raw/master/csl-citation.json"}</w:instrText>
      </w:r>
      <w:r>
        <w:fldChar w:fldCharType="separate"/>
      </w:r>
      <w:r w:rsidRPr="00DC728B">
        <w:rPr>
          <w:noProof/>
        </w:rPr>
        <w:t>[46]</w:t>
      </w:r>
      <w:r>
        <w:fldChar w:fldCharType="end"/>
      </w:r>
      <w:r w:rsidRPr="001005C5">
        <w:t xml:space="preserve"> Aversive/Attractive systems, Gray's </w:t>
      </w:r>
      <w:r>
        <w:fldChar w:fldCharType="begin" w:fldLock="1"/>
      </w:r>
      <w:r>
        <w:instrText>ADDIN CSL_CITATION {"citationItems":[{"id":"ITEM-1","itemData":{"author":[{"dropping-particle":"","family":"Ekman","given":"Paul","non-dropping-particle":"","parse-names":false,"suffix":""},{"dropping-particle":"","family":"Davidson","given":"Richard J.","non-dropping-particle":"","parse-names":false,"suffix":""}],"id":"ITEM-1","issued":{"date-parts":[["1994"]]},"title":"The Nature of Emotion: Fundamental Questions","type":"article"},"uris":["http://www.mendeley.com/documents/?uuid=9b748463-370e-38b3-a9db-e27c63a5bf91"]}],"mendeley":{"formattedCitation":"[47]","plainTextFormattedCitation":"[47]","previouslyFormattedCitation":"[47]"},"properties":{"noteIndex":0},"schema":"https://github.com/citation-style-language/schema/raw/master/csl-citation.json"}</w:instrText>
      </w:r>
      <w:r>
        <w:fldChar w:fldCharType="separate"/>
      </w:r>
      <w:r w:rsidRPr="00DC728B">
        <w:rPr>
          <w:noProof/>
        </w:rPr>
        <w:t>[47]</w:t>
      </w:r>
      <w:r>
        <w:fldChar w:fldCharType="end"/>
      </w:r>
      <w:r w:rsidRPr="001005C5">
        <w:t xml:space="preserve"> Behavioral Activation/Behavioral Inhibition systems, and Lang et al.'s (1990)</w:t>
      </w:r>
      <w:r w:rsidRPr="001005C5">
        <w:br/>
        <w:t xml:space="preserve">Appetitive/Defensive systems. Davidson, 1983 </w:t>
      </w:r>
      <w:r>
        <w:fldChar w:fldCharType="begin" w:fldLock="1"/>
      </w:r>
      <w:r>
        <w:instrText>ADDIN CSL_CITATION {"citationItems":[{"id":"ITEM-1","itemData":{"URL":"https://psycnet.apa.org/record/1988-98011-011","accessed":{"date-parts":[["2022","1","28"]]},"id":"ITEM-1","issued":{"date-parts":[["0"]]},"title":"Affect, cognition, and hemispheric specialization. - PsycNET","type":"webpage"},"uris":["http://www.mendeley.com/documents/?uuid=a857c24a-7f0a-3f23-b2e6-9aa11fe238e9"]}],"mendeley":{"formattedCitation":"[48]","plainTextFormattedCitation":"[48]","previouslyFormattedCitation":"[48]"},"properties":{"noteIndex":0},"schema":"https://github.com/citation-style-language/schema/raw/master/csl-citation.json"}</w:instrText>
      </w:r>
      <w:r>
        <w:fldChar w:fldCharType="separate"/>
      </w:r>
      <w:r w:rsidRPr="00DC728B">
        <w:rPr>
          <w:noProof/>
        </w:rPr>
        <w:t>[48]</w:t>
      </w:r>
      <w:r>
        <w:fldChar w:fldCharType="end"/>
      </w:r>
      <w:r w:rsidRPr="001005C5">
        <w:t xml:space="preserve"> proposed a similar model linked to research on frontal EEG asymmetry during emotional states. He posited that frontal asymmetry was not related to the valence of an emotional stimulus but rather to the motivational system that is engaged by that stimulus. He proposed that the left PFC is involved in a system facilitating approach behaviour to appetitive stimuli, whereas the right PFC is involved in a system facilitating withdrawal behavior from aversive stimuli. </w:t>
      </w:r>
      <w:r w:rsidRPr="007C77A5">
        <w:t xml:space="preserve">During the experiments an Approach-Withdrawal neurophysiological index will be derived by the processing of the EEG signal on the PFC. Such index has been already employed in a variety of fields and conditions supporting its consistency, like experimental conditions characterized by a low-, a neutral and a high-approach positive mindset </w:t>
      </w:r>
      <w:r w:rsidRPr="007C77A5">
        <w:fldChar w:fldCharType="begin" w:fldLock="1"/>
      </w:r>
      <w:r>
        <w:instrText>ADDIN CSL_CITATION {"citationItems":[{"id":"ITEM-1","itemData":{"DOI":"10.1037/0022-3514.94.1.1","ISSN":"0022-3514","PMID":"18179314","abstract":"The action-based model of dissonance predicts that following decisional commitment, approach-oriented motivational processes occur to assist in translating the decision into effective and unconflicted behavior. Therefore, the modulation of these approach-oriented processes should affect the degree to which individuals change their attitudes to be more consistent with the decisional commitment (spreading of alternatives). Experiment 1 demonstrated that a neurofeedback-induced decrease in relative left frontal cortical activation, which has been implicated in approach motivational processes, caused a reduction in spreading of alternatives. Experiment 2 manipulated an action-oriented mindset following a decision and demonstrated that the action-oriented mindset caused increased activation in the left frontal cortical region as well as increased spreading of alternatives. Discussion focuses on how this integration of neuroscience and dissonance theory benefits both parent literatures. © 2008 American Psychological Association.","author":[{"dropping-particle":"","family":"Harmon-Jones","given":"Eddie","non-dropping-particle":"","parse-names":false,"suffix":""},{"dropping-particle":"","family":"Harmon-Jones","given":"Cindy","non-dropping-particle":"","parse-names":false,"suffix":""},{"dropping-particle":"","family":"Fearn","given":"Meghan","non-dropping-particle":"","parse-names":false,"suffix":""},{"dropping-particle":"","family":"Sigelman","given":"Jonathan D.","non-dropping-particle":"","parse-names":false,"suffix":""},{"dropping-particle":"","family":"Johnson","given":"Peter","non-dropping-particle":"","parse-names":false,"suffix":""}],"container-title":"Journal of personality and social psychology","id":"ITEM-1","issue":"1","issued":{"date-parts":[["2008","1"]]},"page":"1-15","publisher":"J Pers Soc Psychol","title":"Left frontal cortical activation and spreading of alternatives: tests of the action-based model of dissonance","type":"article-journal","volume":"94"},"uris":["http://www.mendeley.com/documents/?uuid=93a6f423-765e-3c49-b4d0-9810ef99fb99"]}],"mendeley":{"formattedCitation":"[49]","plainTextFormattedCitation":"[49]","previouslyFormattedCitation":"[49]"},"properties":{"noteIndex":0},"schema":"https://github.com/citation-style-language/schema/raw/master/csl-citation.json"}</w:instrText>
      </w:r>
      <w:r w:rsidRPr="007C77A5">
        <w:fldChar w:fldCharType="separate"/>
      </w:r>
      <w:r w:rsidRPr="00DC728B">
        <w:rPr>
          <w:noProof/>
        </w:rPr>
        <w:t>[49]</w:t>
      </w:r>
      <w:r w:rsidRPr="007C77A5">
        <w:fldChar w:fldCharType="end"/>
      </w:r>
      <w:r w:rsidRPr="007C77A5">
        <w:t xml:space="preserve">, </w:t>
      </w:r>
      <w:r w:rsidRPr="007C77A5">
        <w:rPr>
          <w:shd w:val="clear" w:color="auto" w:fill="FFFFFF"/>
        </w:rPr>
        <w:t xml:space="preserve">the study of personality traits in children, </w:t>
      </w:r>
      <w:r w:rsidRPr="007C77A5">
        <w:rPr>
          <w:shd w:val="clear" w:color="auto" w:fill="FFFFFF"/>
        </w:rPr>
        <w:fldChar w:fldCharType="begin" w:fldLock="1"/>
      </w:r>
      <w:r>
        <w:rPr>
          <w:shd w:val="clear" w:color="auto" w:fill="FFFFFF"/>
        </w:rPr>
        <w:instrText>ADDIN CSL_CITATION {"citationItems":[{"id":"ITEM-1","itemData":{"DOI":"10.1037/0010716","ISSN":"0010-7549","abstract":"Reviews the book, Missile Wounds of the Brain by Freda Newcombe (see record 1973-02704-000). In order to place this book in proper perspective, one must know that it is one of the series of Oxford Neurological Monographs. It is written for that small group of people who have an interest in the intellectual aspects of human brain function; it is not written for the layman or the psychologist at large. Nevertheless, because of the careful organization and the lucid writing style, the text could be followed without difficulty by nonspecialists. The monograph describes a major follow-up study undertaken on a large sample of men who incurred head injuries during World War II, with consequent focal brain damage. The conclusions are that the human brain is functionally asymmetrical, and that within a cerebral hemisphere there is some further differentiation of function. These are not startling discoveries, and one finds no original interpretations here. In this respect, the book is not unique, but it is unusual in the reasonableness of its claims and in its careful documenting of previous work. It thereby offers a fitting contrast to some recent dramatic descriptions of split-brain patients, which have so dazzled the nonphysiological psychologist. (PsycINFO Database Record (c) 2017 APA, all rights reserved)","author":[{"dropping-particle":"","family":"Kimura","given":"Doreen","non-dropping-particle":"","parse-names":false,"suffix":""}],"container-title":"Contemporary Psychology","id":"ITEM-1","issue":"10","issued":{"date-parts":[["1972","10"]]},"page":"556-557","publisher":"Portico","title":"Brain asymmetry.","type":"article-journal","volume":"17"},"uris":["http://www.mendeley.com/documents/?uuid=6d479c9e-e4ad-3775-b21d-9cbe9a9802b2"]}],"mendeley":{"formattedCitation":"[50]","plainTextFormattedCitation":"[50]","previouslyFormattedCitation":"[50]"},"properties":{"noteIndex":0},"schema":"https://github.com/citation-style-language/schema/raw/master/csl-citation.json"}</w:instrText>
      </w:r>
      <w:r w:rsidRPr="007C77A5">
        <w:rPr>
          <w:shd w:val="clear" w:color="auto" w:fill="FFFFFF"/>
        </w:rPr>
        <w:fldChar w:fldCharType="separate"/>
      </w:r>
      <w:r w:rsidRPr="00DC728B">
        <w:rPr>
          <w:noProof/>
          <w:shd w:val="clear" w:color="auto" w:fill="FFFFFF"/>
        </w:rPr>
        <w:t>[50]</w:t>
      </w:r>
      <w:r w:rsidRPr="007C77A5">
        <w:rPr>
          <w:shd w:val="clear" w:color="auto" w:fill="FFFFFF"/>
        </w:rPr>
        <w:fldChar w:fldCharType="end"/>
      </w:r>
      <w:r w:rsidRPr="007C77A5">
        <w:rPr>
          <w:shd w:val="clear" w:color="auto" w:fill="FFFFFF"/>
        </w:rPr>
        <w:t xml:space="preserve">, but also </w:t>
      </w:r>
      <w:r w:rsidRPr="007C77A5">
        <w:t xml:space="preserve">public service announcement </w:t>
      </w:r>
      <w:r>
        <w:fldChar w:fldCharType="begin" w:fldLock="1"/>
      </w:r>
      <w:r>
        <w:instrText>ADDIN CSL_CITATION {"citationItems":[{"id":"ITEM-1","itemData":{"DOI":"10.3389/FNHUM.2018.00231","ISSN":"16625161","PMID":"30210322","abstract":"Tobacco constitutes a global emergency with totally preventable millions of deaths per year and smoking-related illnesses. Public service announcements (PSAs) are the main tool against smoking and by now their efficacy is still assessed through questionnaires and metrics, only months after their circulation. The present study focused on the young population, because at higher risk of developing tobacco addiction, investigating the reaction to the vision of Effective, Ineffective and Awarded antismoking PSAs through: electroencephalography (EEG), autonomic activity variation (Galvanic skin response—GSR- and Heart Rate—HR-) and Eye-Tracking (ET). The employed indices were: the EEG frontal alpha band asymmetry and the frontal theta; the Emotional Index (EI), deriving from the GSR and HR signals matching; the ET Visual Attention (VA) index, based on the ratio between the total time spent fixating an area of interest (AOI) and its area. Smokers expressed higher frontal alpha asymmetry values in comparison to non-smokers. Concerning frontal theta, Awarded PSAs reported the highest values in comparison to both Effective and Ineffective PSAs. EI results highlighted that lowest values were expressed by Heavy Smokers (HS), and Effective PSAs obtained the highest EI values. Finally, concerning the Effective PSAs, regression analysis highlighted a correlation between the number of cigarettes smoked by participants (independent variable) and frontal alpha asymmetry, frontal theta and EI values. ET results suggested that for the Ineffective PSAs the main focus were texts, while for the Effective and Awarded PSAs were the visual elements. Results support the use of methods aimed at assessing the physiological reaction for the evaluation of PSAs images, in particular when considering the smoking habits of target populations.","author":[{"dropping-particle":"","family":"Cartocci","given":"Giulia","non-dropping-particle":"","parse-names":false,"suffix":""},{"dropping-particle":"","family":"Modica","given":"Enrica","non-dropping-particle":"","parse-names":false,"suffix":""},{"dropping-particle":"","family":"Rossi","given":"Dario","non-dropping-particle":"","parse-names":false,"suffix":""},{"dropping-particle":"","family":"Cherubino","given":"Patrizia","non-dropping-particle":"","parse-names":false,"suffix":""},{"dropping-particle":"","family":"Maglione","given":"Anton Giulio","non-dropping-particle":"","parse-names":false,"suffix":""},{"dropping-particle":"","family":"Colosimo","given":"Alfredo","non-dropping-particle":"","parse-names":false,"suffix":""},{"dropping-particle":"","family":"Trettel","given":"Arianna","non-dropping-particle":"","parse-names":false,"suffix":""},{"dropping-particle":"","family":"Mancini","given":"Marco","non-dropping-particle":"","parse-names":false,"suffix":""},{"dropping-particle":"","family":"Babiloni","given":"Fabio","non-dropping-particle":"","parse-names":false,"suffix":""}],"container-title":"Frontiers in Human Neuroscience","id":"ITEM-1","issued":{"date-parts":[["2018","8","29"]]},"publisher":"Frontiers Media SA","title":"Neurophysiological Measures of the Perception of Antismoking Public Service Announcements Among Young Population","type":"article-journal","volume":"12"},"uris":["http://www.mendeley.com/documents/?uuid=58a8f764-23f1-39f2-adb0-a2c900346c50"]}],"mendeley":{"formattedCitation":"[51]","plainTextFormattedCitation":"[51]","previouslyFormattedCitation":"[51]"},"properties":{"noteIndex":0},"schema":"https://github.com/citation-style-language/schema/raw/master/csl-citation.json"}</w:instrText>
      </w:r>
      <w:r>
        <w:fldChar w:fldCharType="separate"/>
      </w:r>
      <w:r w:rsidRPr="00DC728B">
        <w:rPr>
          <w:noProof/>
        </w:rPr>
        <w:t>[51]</w:t>
      </w:r>
      <w:r>
        <w:fldChar w:fldCharType="end"/>
      </w:r>
      <w:r w:rsidRPr="007C77A5">
        <w:t xml:space="preserve"> and neuroaesthetics </w:t>
      </w:r>
      <w:r>
        <w:fldChar w:fldCharType="begin" w:fldLock="1"/>
      </w:r>
      <w:r>
        <w:instrText>ADDIN CSL_CITATION {"citationItems":[{"id":"ITEM-1","itemData":{"DOI":"10.3390/BRAINSCI11030281","ISSN":"2076-3425","PMID":"33668815","abstract":"Neuroaesthetics, the science studying the biological underpinnings of aesthetic experience, recently extended its area of investigation to literary art; this was the humus where neurocognitive poetics blossomed. Divina Commedia represents one of the most important, famous and studied poems worldwide. Poetry stimuli are characterized by elements (meter and rhyme) promoting the processing fluency, a core aspect of neuroaesthetics theories. In addition, given the evidence of different neurophysiological reactions between experts and non-experts in response to artistic stimuli, the aim of the present study was to investigate, in poetry, a different neurophysiological cognitive and emotional reaction between Literature (L) and Non-Literature (NL) students. A further aim was to investigate whether neurophysiological underpinnings would support explanation of behavioral data. Investigation methods employed: self-report assessments (recognition, appreciation, content recall) and neurophysiological indexes (approach/withdrawal (AW), cerebral effort (CE) and galvanic skin response (GSR)). The main behavioral results, according to fluency theories in aesthetics, suggested in the NL but not in the L group that the appreciation/liking went hand by hand with the self-declared recognition and with the content recall. The main neurophysiological results were: (i) higher galvanic skin response in NL, whilst higher CE values in L; (ii) a positive correlation between AW and CE indexes in both groups. The present results extended previous evidence relative to figurative art also to auditory poetry stimuli, suggesting an emotional attenuation “expertise-specific” showed by experts, but increased cognitive processing in response to the stimuli.","author":[{"dropping-particle":"","family":"Cartocci","given":"Giulia","non-dropping-particle":"","parse-names":false,"suffix":""},{"dropping-particle":"","family":"Rossi","given":"Dario","non-dropping-particle":"","parse-names":false,"suffix":""},{"dropping-particle":"","family":"Modica","given":"Enrica","non-dropping-particle":"","parse-names":false,"suffix":""},{"dropping-particle":"","family":"Maglione","given":"Anton Giulio","non-dropping-particle":"","parse-names":false,"suffix":""},{"dropping-particle":"","family":"Martinez Levy","given":"Ana C.","non-dropping-particle":"","parse-names":false,"suffix":""},{"dropping-particle":"","family":"Cherubino","given":"Patrizia","non-dropping-particle":"","parse-names":false,"suffix":""},{"dropping-particle":"","family":"Canettieri","given":"Paolo","non-dropping-particle":"","parse-names":false,"suffix":""},{"dropping-particle":"","family":"Combi","given":"Mariella","non-dropping-particle":"","parse-names":false,"suffix":""},{"dropping-particle":"","family":"Rea","given":"Roberto","non-dropping-particle":"","parse-names":false,"suffix":""},{"dropping-particle":"","family":"Gatti","given":"Luca","non-dropping-particle":"","parse-names":false,"suffix":""},{"dropping-particle":"","family":"Babiloni","given":"Fabio","non-dropping-particle":"","parse-names":false,"suffix":""}],"container-title":"Brain sciences","id":"ITEM-1","issue":"3","issued":{"date-parts":[["2021","3","1"]]},"page":"1-25","publisher":"Brain Sci","title":"NeuroDante: Poetry Mentally Engages More Experts but Moves More Non-Experts, and for Both the Cerebral Approach Tendency Goes Hand in Hand with the Cerebral Effort","type":"article-journal","volume":"11"},"uris":["http://www.mendeley.com/documents/?uuid=6c3ddb78-fa6b-3741-9269-a40951db80ce"]}],"mendeley":{"formattedCitation":"[52]","plainTextFormattedCitation":"[52]","previouslyFormattedCitation":"[52]"},"properties":{"noteIndex":0},"schema":"https://github.com/citation-style-language/schema/raw/master/csl-citation.json"}</w:instrText>
      </w:r>
      <w:r>
        <w:fldChar w:fldCharType="separate"/>
      </w:r>
      <w:r w:rsidRPr="00DC728B">
        <w:rPr>
          <w:noProof/>
        </w:rPr>
        <w:t>[52]</w:t>
      </w:r>
      <w:r>
        <w:fldChar w:fldCharType="end"/>
      </w:r>
      <w:r w:rsidRPr="007C77A5">
        <w:t>.</w:t>
      </w:r>
      <w:r>
        <w:t xml:space="preserve"> </w:t>
      </w:r>
      <w:bookmarkStart w:id="41" w:name="_Hlk99525748"/>
      <w:r>
        <w:t xml:space="preserve">Artimation is the first SESAR project in which this neurophysiological index will be validated in the ATM context, to assess an objective measure of acceptability from the operator side. This research will have a clear impact from an ergonomic point of view, </w:t>
      </w:r>
      <w:r w:rsidR="00804429">
        <w:t>e.g.,</w:t>
      </w:r>
      <w:r>
        <w:t xml:space="preserve"> during the testing of new HMIs and technologies, to assess in an objective way which is the degree of acceptability of the operator in front of the new solution.</w:t>
      </w:r>
      <w:bookmarkEnd w:id="41"/>
    </w:p>
    <w:p w14:paraId="52431008" w14:textId="77777777" w:rsidR="00821405" w:rsidRDefault="00821405" w:rsidP="00821405">
      <w:pPr>
        <w:pStyle w:val="BodyText"/>
      </w:pPr>
    </w:p>
    <w:p w14:paraId="71CAE8E2" w14:textId="77777777" w:rsidR="00821405" w:rsidRDefault="00821405" w:rsidP="00821405">
      <w:pPr>
        <w:pStyle w:val="Heading1"/>
        <w:numPr>
          <w:ilvl w:val="0"/>
          <w:numId w:val="20"/>
        </w:numPr>
        <w:ind w:left="431" w:hanging="431"/>
        <w:jc w:val="both"/>
        <w:rPr>
          <w:rFonts w:asciiTheme="minorHAnsi" w:hAnsiTheme="minorHAnsi" w:cstheme="minorHAnsi"/>
        </w:rPr>
      </w:pPr>
      <w:bookmarkStart w:id="42" w:name="_Toc99543113"/>
      <w:bookmarkStart w:id="43" w:name="_Toc103332738"/>
      <w:r>
        <w:rPr>
          <w:rFonts w:asciiTheme="minorHAnsi" w:hAnsiTheme="minorHAnsi" w:cstheme="minorHAnsi"/>
        </w:rPr>
        <w:lastRenderedPageBreak/>
        <w:t>Biosignal processing</w:t>
      </w:r>
      <w:bookmarkEnd w:id="42"/>
      <w:bookmarkEnd w:id="43"/>
    </w:p>
    <w:p w14:paraId="1055081C" w14:textId="77777777" w:rsidR="00821405" w:rsidRDefault="00821405" w:rsidP="00821405">
      <w:pPr>
        <w:pStyle w:val="BodyText"/>
      </w:pPr>
      <w:r>
        <w:t xml:space="preserve">In this section they will be explained the processing steps necessary to calculate the above-mentioned neurophysiological measures from the electroencephalographic (EEG) and Galvanic Skin Response (GSR) signals. </w:t>
      </w:r>
    </w:p>
    <w:p w14:paraId="2924E421" w14:textId="77777777" w:rsidR="00821405" w:rsidRDefault="00821405" w:rsidP="00821405">
      <w:pPr>
        <w:pStyle w:val="Heading2"/>
        <w:numPr>
          <w:ilvl w:val="1"/>
          <w:numId w:val="20"/>
        </w:numPr>
      </w:pPr>
      <w:bookmarkStart w:id="44" w:name="_Toc99543114"/>
      <w:bookmarkStart w:id="45" w:name="_Toc103332739"/>
      <w:r>
        <w:t>EEG processing chain</w:t>
      </w:r>
      <w:bookmarkEnd w:id="44"/>
      <w:bookmarkEnd w:id="45"/>
    </w:p>
    <w:p w14:paraId="0750842F" w14:textId="77777777" w:rsidR="00821405" w:rsidRPr="00B71D19" w:rsidRDefault="00821405" w:rsidP="00821405">
      <w:pPr>
        <w:pStyle w:val="BodyText"/>
      </w:pPr>
      <w:r>
        <w:t>A</w:t>
      </w:r>
      <w:r w:rsidRPr="00B71D19">
        <w:t xml:space="preserve">fter that the EEG signal </w:t>
      </w:r>
      <w:r>
        <w:t>is</w:t>
      </w:r>
      <w:r w:rsidRPr="00B71D19">
        <w:t xml:space="preserve"> band-pass filtered with a 5th-order Butterworth filter in the interval 2-30 Hz, the blink artifacts have </w:t>
      </w:r>
      <w:r>
        <w:t>to be</w:t>
      </w:r>
      <w:r w:rsidRPr="00B71D19">
        <w:t xml:space="preserve"> detected by means of the Reblinca method </w:t>
      </w:r>
      <w:r w:rsidRPr="00B71D19">
        <w:fldChar w:fldCharType="begin" w:fldLock="1"/>
      </w:r>
      <w:r>
        <w:instrText>ADDIN CSL_CITATION {"citationItems":[{"id":"ITEM-1","itemData":{"author":[{"dropping-particle":"","family":"Flumeri","given":"Gianluca","non-dropping-particle":"Di","parse-names":false,"suffix":""},{"dropping-particle":"","family":"Aricó","given":"Pietro","non-dropping-particle":"","parse-names":false,"suffix":""},{"dropping-particle":"","family":"Borghini","given":"Gianluca","non-dropping-particle":"","parse-names":false,"suffix":""},{"dropping-particle":"","family":"Colosimo","given":"Alfredo","non-dropping-particle":"","parse-names":false,"suffix":""},{"dropping-particle":"","family":"Babiloni","given":"Fabio","non-dropping-particle":"","parse-names":false,"suffix":""}],"container-title":"Engineering in Medicine and Biology Society (EMBC), 2016 IEEE 38th Annual International Conference of the","id":"ITEM-1","issued":{"date-parts":[["2016"]]},"page":"3187-3190","title":"A new regression-based method for the eye blinks artifacts correction in the EEG signal, without using any EOG channel","type":"paper-conference"},"uris":["http://www.mendeley.com/documents/?uuid=839732f0-48fd-499d-85d1-d29af25c375e"]}],"mendeley":{"formattedCitation":"[53]","plainTextFormattedCitation":"[53]","previouslyFormattedCitation":"[53]"},"properties":{"noteIndex":0},"schema":"https://github.com/citation-style-language/schema/raw/master/csl-citation.json"}</w:instrText>
      </w:r>
      <w:r w:rsidRPr="00B71D19">
        <w:fldChar w:fldCharType="separate"/>
      </w:r>
      <w:r w:rsidRPr="00DC728B">
        <w:rPr>
          <w:noProof/>
        </w:rPr>
        <w:t>[53]</w:t>
      </w:r>
      <w:r w:rsidRPr="00B71D19">
        <w:fldChar w:fldCharType="end"/>
      </w:r>
      <w:r w:rsidRPr="00B71D19">
        <w:t xml:space="preserve"> and corrected leveraging the ocular component estimated by means of Multi-channel Wiener Filter (MWF) </w:t>
      </w:r>
      <w:r w:rsidRPr="00B71D19">
        <w:fldChar w:fldCharType="begin" w:fldLock="1"/>
      </w:r>
      <w:r>
        <w:instrText>ADDIN CSL_CITATION {"citationItems":[{"id":"ITEM-1","itemData":{"ISSN":"1741-2552","author":[{"dropping-particle":"","family":"Somers","given":"Ben","non-dropping-particle":"","parse-names":false,"suffix":""},{"dropping-particle":"","family":"Francart","given":"Tom","non-dropping-particle":"","parse-names":false,"suffix":""},{"dropping-particle":"","family":"Bertrand","given":"Alexander","non-dropping-particle":"","parse-names":false,"suffix":""}],"container-title":"Journal of neural engineering","id":"ITEM-1","issue":"3","issued":{"date-parts":[["2018"]]},"page":"36007","publisher":"IOP Publishing","title":"A generic EEG artifact removal algorithm based on the multi-channel Wiener filter","type":"article-journal","volume":"15"},"uris":["http://www.mendeley.com/documents/?uuid=9db7d942-15c0-48cc-a341-e6de6ff191cb","http://www.mendeley.com/documents/?uuid=81345a7a-a8f3-41e8-9a31-f4a416b8a88d"]}],"mendeley":{"formattedCitation":"[54]","plainTextFormattedCitation":"[54]","previouslyFormattedCitation":"[54]"},"properties":{"noteIndex":0},"schema":"https://github.com/citation-style-language/schema/raw/master/csl-citation.json"}</w:instrText>
      </w:r>
      <w:r w:rsidRPr="00B71D19">
        <w:fldChar w:fldCharType="separate"/>
      </w:r>
      <w:r w:rsidRPr="00DC728B">
        <w:rPr>
          <w:noProof/>
        </w:rPr>
        <w:t>[54]</w:t>
      </w:r>
      <w:r w:rsidRPr="00B71D19">
        <w:fldChar w:fldCharType="end"/>
      </w:r>
      <w:r w:rsidRPr="00B71D19">
        <w:t xml:space="preserve">. EEG signals </w:t>
      </w:r>
      <w:r>
        <w:t>will then be</w:t>
      </w:r>
      <w:r w:rsidRPr="00B71D19">
        <w:t xml:space="preserve"> segmented into epochs of 1 second and if the EEG signal amplitude exceeds ±80 (μV) it marked as artifact (threshold criterion).</w:t>
      </w:r>
    </w:p>
    <w:p w14:paraId="36EBA969" w14:textId="77777777" w:rsidR="00821405" w:rsidRPr="00B71D19" w:rsidRDefault="00821405" w:rsidP="00821405">
      <w:pPr>
        <w:pStyle w:val="BodyText"/>
      </w:pPr>
      <w:r w:rsidRPr="00B71D19">
        <w:t xml:space="preserve">From the artifact-free EEG, the Global Field Power (GFP) </w:t>
      </w:r>
      <w:r>
        <w:t>is</w:t>
      </w:r>
      <w:r w:rsidRPr="00B71D19">
        <w:t xml:space="preserve"> calculated for each EEG frequency band (Theta, Alpha, Beta, Beta High). In this case, each band </w:t>
      </w:r>
      <w:r>
        <w:t>is</w:t>
      </w:r>
      <w:r w:rsidRPr="00B71D19">
        <w:t xml:space="preserve"> defined accordingly with the Individual Alpha Frequency (IAF) value estimated for each participant </w:t>
      </w:r>
      <w:r w:rsidRPr="00B71D19">
        <w:fldChar w:fldCharType="begin" w:fldLock="1"/>
      </w:r>
      <w:r>
        <w:instrText>ADDIN CSL_CITATION {"citationID":"pOmbjXVD","citationItems":[{"id":"ITEM-1","itemData":{"abstract":"Evidence is presented that EEG oscillations in the alpha and theta band reflect cognitive and memory performance in particular. Good performance is related to two types of EEG phenomena (i) a tonic increase in alpha but a decrease in theta power, and (ii) a large phasic (event-related) decrease in alpha but increase in theta, depending on the type of memory demands. Because alpha frequency shows large interindividual differences which are related to age and memory performance, this double dissociation between alpha vs. theta and tonic vs. phasic changes can be observed only if fixed frequency bands are abandoned. It is suggested to adjust the frequency windows of alpha and theta for each subject by using individual alpha frequency as an anchor point. Based on this procedure, a consistent interpretation of a variety of findings is made possible. As an example, in a similar way as brain volume does, upper alpha power increases (but theta power decreases) from early childhood to adulthood, whereas the opposite holds true for the late part of the lifespan. Alpha power is lowered and theta power enhanced in subjects with a variety of different neurological disorders. Furthermore, after sustained wakefulness and during the transition from waking to sleeping when the ability to respond to external stimuli ceases, upper alpha power decreases, whereas theta increases. Event-related changes indicate that the extent of upper alpha desynchronization is positively correlated with (semantic) long-term memory performance, whereas theta synchronization is positively correlated with the ability to encode new information. The reviewed findings are interpreted on the basis of brain oscillations. It is suggested that the encoding of new information is reflected by theta oscillations in hippocampo-cortical feedback loops, whereas search and retrieval processes in (semantic) long-term memory are reflected by upper alpha oscillations in thalamo-cortical feedback loops.","author":[{"dropping-particle":"","family":"Klimesch","given":"W.","non-dropping-particle":"","parse-names":false,"suffix":""}],"container-title":"Brain Research. Brain Research Reviews","id":"ITEM-1","issue":"2-3","issued":{"date-parts":[["1999","4"]]},"language":"eng","page":"169-195","title":"EEG alpha and theta oscillations reflect cognitive and memory performance: a review and analysis","title-short":"EEG alpha and theta oscillations reflect cognitive","type":"article-journal","volume":"29"},"uris":["http://www.mendeley.com/documents/?uuid=5904b2ea-9717-42be-9462-55e602e6913a"]}],"mendeley":{"formattedCitation":"[55]","plainTextFormattedCitation":"[55]","previouslyFormattedCitation":"[55]"},"properties":{"formattedCitation":"[4]","noteIndex":0,"plainCitation":"[4]"},"schema":"https://github.com/citation-style-language/schema/raw/master/csl-citation.json"}</w:instrText>
      </w:r>
      <w:r w:rsidRPr="00B71D19">
        <w:fldChar w:fldCharType="separate"/>
      </w:r>
      <w:r w:rsidRPr="00DC728B">
        <w:rPr>
          <w:noProof/>
        </w:rPr>
        <w:t>[55]</w:t>
      </w:r>
      <w:r w:rsidRPr="00B71D19">
        <w:fldChar w:fldCharType="end"/>
      </w:r>
      <w:r w:rsidRPr="00B71D19">
        <w:t xml:space="preserve">. Since the alpha peak is mainly prominent during rest conditions, the participants </w:t>
      </w:r>
      <w:r>
        <w:t>will be</w:t>
      </w:r>
      <w:r w:rsidRPr="00B71D19">
        <w:t xml:space="preserve"> asked to keep their eyes closed for a minute before starting the experiment. Such a condition </w:t>
      </w:r>
      <w:r>
        <w:t>will be</w:t>
      </w:r>
      <w:r w:rsidRPr="00B71D19">
        <w:t xml:space="preserve"> used to estimate the IAF value specifically for each participant. Consequently, the EEG bands </w:t>
      </w:r>
      <w:r>
        <w:t>are</w:t>
      </w:r>
      <w:r w:rsidRPr="00B71D19">
        <w:t xml:space="preserve"> defined as:</w:t>
      </w:r>
    </w:p>
    <w:p w14:paraId="09CEECAD" w14:textId="77777777" w:rsidR="00821405" w:rsidRPr="00B71D19" w:rsidRDefault="00821405" w:rsidP="00821405">
      <w:pPr>
        <w:pStyle w:val="BodyText"/>
        <w:numPr>
          <w:ilvl w:val="0"/>
          <w:numId w:val="47"/>
        </w:numPr>
        <w:spacing w:after="0"/>
      </w:pPr>
      <w:r w:rsidRPr="00B71D19">
        <w:rPr>
          <w:b/>
          <w:bCs/>
        </w:rPr>
        <w:t>Theta</w:t>
      </w:r>
      <w:r w:rsidRPr="00B71D19">
        <w:t>= (IAF-6) : (IAF-2) Hz</w:t>
      </w:r>
    </w:p>
    <w:p w14:paraId="625A5FEB" w14:textId="77777777" w:rsidR="00821405" w:rsidRPr="00B71D19" w:rsidRDefault="00821405" w:rsidP="00821405">
      <w:pPr>
        <w:pStyle w:val="BodyText"/>
        <w:numPr>
          <w:ilvl w:val="0"/>
          <w:numId w:val="47"/>
        </w:numPr>
        <w:spacing w:after="0"/>
      </w:pPr>
      <w:r w:rsidRPr="00B71D19">
        <w:rPr>
          <w:b/>
          <w:bCs/>
        </w:rPr>
        <w:t>Alpha</w:t>
      </w:r>
      <w:r w:rsidRPr="00B71D19">
        <w:t>= (IAF-2) :  (IAF+2) Hz</w:t>
      </w:r>
    </w:p>
    <w:p w14:paraId="401EA79E" w14:textId="77777777" w:rsidR="00821405" w:rsidRPr="00B71D19" w:rsidRDefault="00821405" w:rsidP="00821405">
      <w:pPr>
        <w:pStyle w:val="BodyText"/>
        <w:numPr>
          <w:ilvl w:val="0"/>
          <w:numId w:val="47"/>
        </w:numPr>
        <w:spacing w:after="0"/>
      </w:pPr>
      <w:r w:rsidRPr="00B71D19">
        <w:rPr>
          <w:b/>
          <w:bCs/>
        </w:rPr>
        <w:t>Beta</w:t>
      </w:r>
      <w:r w:rsidRPr="00B71D19">
        <w:t>= (IAF+2) : (IAF+16) Hz</w:t>
      </w:r>
    </w:p>
    <w:p w14:paraId="73112BCA" w14:textId="77777777" w:rsidR="00821405" w:rsidRPr="00B71D19" w:rsidRDefault="00821405" w:rsidP="00821405">
      <w:pPr>
        <w:pStyle w:val="BodyText"/>
        <w:numPr>
          <w:ilvl w:val="0"/>
          <w:numId w:val="47"/>
        </w:numPr>
        <w:spacing w:after="0"/>
      </w:pPr>
      <w:r w:rsidRPr="00B71D19">
        <w:rPr>
          <w:b/>
          <w:bCs/>
        </w:rPr>
        <w:t>Beta High</w:t>
      </w:r>
      <w:r w:rsidRPr="00B71D19">
        <w:t>= (IAF+11) : (IAF+16) Hz</w:t>
      </w:r>
    </w:p>
    <w:p w14:paraId="74C9EAF3" w14:textId="77777777" w:rsidR="00821405" w:rsidRPr="00B71D19" w:rsidRDefault="00821405" w:rsidP="00821405">
      <w:pPr>
        <w:pStyle w:val="BodyText"/>
      </w:pPr>
    </w:p>
    <w:p w14:paraId="0147752D" w14:textId="77777777" w:rsidR="00821405" w:rsidRPr="00B71D19" w:rsidRDefault="00821405" w:rsidP="00821405">
      <w:pPr>
        <w:pStyle w:val="BodyText"/>
      </w:pPr>
      <w:r w:rsidRPr="00B71D19">
        <w:t xml:space="preserve">For each mental state (Workload, Stress and </w:t>
      </w:r>
      <w:r>
        <w:t>Approach-Withdrawal</w:t>
      </w:r>
      <w:r w:rsidRPr="00B71D19">
        <w:t xml:space="preserve">) a subset of channels and bands of interest </w:t>
      </w:r>
      <w:r>
        <w:t>will be</w:t>
      </w:r>
      <w:r w:rsidRPr="00B71D19">
        <w:t xml:space="preserve"> chosen according to the literature and results</w:t>
      </w:r>
      <w:r>
        <w:t xml:space="preserve"> obtained from the previous EU projects </w:t>
      </w:r>
      <w:r>
        <w:fldChar w:fldCharType="begin" w:fldLock="1"/>
      </w:r>
      <w:r>
        <w:instrText>ADDIN CSL_CITATION {"citationItems":[{"id":"ITEM-1","itemData":{"DOI":"10.3390/BRAINSCI11030281","ISSN":"2076-3425","PMID":"33668815","abstract":"Neuroaesthetics, the science studying the biological underpinnings of aesthetic experience, recently extended its area of investigation to literary art; this was the humus where neurocognitive poetics blossomed. Divina Commedia represents one of the most important, famous and studied poems worldwide. Poetry stimuli are characterized by elements (meter and rhyme) promoting the processing fluency, a core aspect of neuroaesthetics theories. In addition, given the evidence of different neurophysiological reactions between experts and non-experts in response to artistic stimuli, the aim of the present study was to investigate, in poetry, a different neurophysiological cognitive and emotional reaction between Literature (L) and Non-Literature (NL) students. A further aim was to investigate whether neurophysiological underpinnings would support explanation of behavioral data. Investigation methods employed: self-report assessments (recognition, appreciation, content recall) and neurophysiological indexes (approach/withdrawal (AW), cerebral effort (CE) and galvanic skin response (GSR)). The main behavioral results, according to fluency theories in aesthetics, suggested in the NL but not in the L group that the appreciation/liking went hand by hand with the self-declared recognition and with the content recall. The main neurophysiological results were: (i) higher galvanic skin response in NL, whilst higher CE values in L; (ii) a positive correlation between AW and CE indexes in both groups. The present results extended previous evidence relative to figurative art also to auditory poetry stimuli, suggesting an emotional attenuation “expertise-specific” showed by experts, but increased cognitive processing in response to the stimuli.","author":[{"dropping-particle":"","family":"Cartocci","given":"Giulia","non-dropping-particle":"","parse-names":false,"suffix":""},{"dropping-particle":"","family":"Rossi","given":"Dario","non-dropping-particle":"","parse-names":false,"suffix":""},{"dropping-particle":"","family":"Modica","given":"Enrica","non-dropping-particle":"","parse-names":false,"suffix":""},{"dropping-particle":"","family":"Maglione","given":"Anton Giulio","non-dropping-particle":"","parse-names":false,"suffix":""},{"dropping-particle":"","family":"Martinez Levy","given":"Ana C.","non-dropping-particle":"","parse-names":false,"suffix":""},{"dropping-particle":"","family":"Cherubino","given":"Patrizia","non-dropping-particle":"","parse-names":false,"suffix":""},{"dropping-particle":"","family":"Canettieri","given":"Paolo","non-dropping-particle":"","parse-names":false,"suffix":""},{"dropping-particle":"","family":"Combi","given":"Mariella","non-dropping-particle":"","parse-names":false,"suffix":""},{"dropping-particle":"","family":"Rea","given":"Roberto","non-dropping-particle":"","parse-names":false,"suffix":""},{"dropping-particle":"","family":"Gatti","given":"Luca","non-dropping-particle":"","parse-names":false,"suffix":""},{"dropping-particle":"","family":"Babiloni","given":"Fabio","non-dropping-particle":"","parse-names":false,"suffix":""}],"container-title":"Brain sciences","id":"ITEM-1","issue":"3","issued":{"date-parts":[["2021","3","1"]]},"page":"1-25","publisher":"Brain Sci","title":"NeuroDante: Poetry Mentally Engages More Experts but Moves More Non-Experts, and for Both the Cerebral Approach Tendency Goes Hand in Hand with the Cerebral Effort","type":"article-journal","volume":"11"},"uris":["http://www.mendeley.com/documents/?uuid=6c3ddb78-fa6b-3741-9269-a40951db80ce"]},{"id":"ITEM-2","itemData":{"DOI":"10.3389/FNHUM.2018.00231","ISSN":"16625161","PMID":"30210322","abstract":"Tobacco constitutes a global emergency with totally preventable millions of deaths per year and smoking-related illnesses. Public service announcements (PSAs) are the main tool against smoking and by now their efficacy is still assessed through questionnaires and metrics, only months after their circulation. The present study focused on the young population, because at higher risk of developing tobacco addiction, investigating the reaction to the vision of Effective, Ineffective and Awarded antismoking PSAs through: electroencephalography (EEG), autonomic activity variation (Galvanic skin response—GSR- and Heart Rate—HR-) and Eye-Tracking (ET). The employed indices were: the EEG frontal alpha band asymmetry and the frontal theta; the Emotional Index (EI), deriving from the GSR and HR signals matching; the ET Visual Attention (VA) index, based on the ratio between the total time spent fixating an area of interest (AOI) and its area. Smokers expressed higher frontal alpha asymmetry values in comparison to non-smokers. Concerning frontal theta, Awarded PSAs reported the highest values in comparison to both Effective and Ineffective PSAs. EI results highlighted that lowest values were expressed by Heavy Smokers (HS), and Effective PSAs obtained the highest EI values. Finally, concerning the Effective PSAs, regression analysis highlighted a correlation between the number of cigarettes smoked by participants (independent variable) and frontal alpha asymmetry, frontal theta and EI values. ET results suggested that for the Ineffective PSAs the main focus were texts, while for the Effective and Awarded PSAs were the visual elements. Results support the use of methods aimed at assessing the physiological reaction for the evaluation of PSAs images, in particular when considering the smoking habits of target populations.","author":[{"dropping-particle":"","family":"Cartocci","given":"Giulia","non-dropping-particle":"","parse-names":false,"suffix":""},{"dropping-particle":"","family":"Modica","given":"Enrica","non-dropping-particle":"","parse-names":false,"suffix":""},{"dropping-particle":"","family":"Rossi","given":"Dario","non-dropping-particle":"","parse-names":false,"suffix":""},{"dropping-particle":"","family":"Cherubino","given":"Patrizia","non-dropping-particle":"","parse-names":false,"suffix":""},{"dropping-particle":"","family":"Maglione","given":"Anton Giulio","non-dropping-particle":"","parse-names":false,"suffix":""},{"dropping-particle":"","family":"Colosimo","given":"Alfredo","non-dropping-particle":"","parse-names":false,"suffix":""},{"dropping-particle":"","family":"Trettel","given":"Arianna","non-dropping-particle":"","parse-names":false,"suffix":""},{"dropping-particle":"","family":"Mancini","given":"Marco","non-dropping-particle":"","parse-names":false,"suffix":""},{"dropping-particle":"","family":"Babiloni","given":"Fabio","non-dropping-particle":"","parse-names":false,"suffix":""}],"container-title":"Frontiers in Human Neuroscience","id":"ITEM-2","issued":{"date-parts":[["2018","8","29"]]},"publisher":"Frontiers Media SA","title":"Neurophysiological Measures of the Perception of Antismoking Public Service Announcements Among Young Population","type":"article-journal","volume":"12"},"uris":["http://www.mendeley.com/documents/?uuid=58a8f764-23f1-39f2-adb0-a2c900346c50"]},{"id":"ITEM-3","itemData":{"DOI":"10.3791/55872","ISSN":"1940-087X","PMID":"28872117","abstract":"The evaluation of advertising, products, and packaging is traditionally performed through methods based on self-reports and focus groups, but these approaches often appear poorly accurate in scientific terms. Neuroscience is increasingly applied to the investigation of the neurophysiological bases of the perception of and reaction to commercial stimuli to support traditional marketing methods. In this context, a particular sector or marketing is represented by public service announcements (PSAs). The objective of this protocol is to apply electroencephalography (EEG) and autonomic signal analysis to study responses to selected antismoking PSAs. Two EEG indices were employed: the frontal alpha band EEG asymmetry (the Approach Withdrawal (AW) index) and the frontal theta (effort index). Furthermore, the autonomic Emotional Index (EI) was calculated, as derived from the Galvanic Skin Response (GSR) and Heart Rate (HR) signals. The present protocol describes a series of operational and computational steps required to properly estimate, through the aforementioned indices, the emotional and cerebral reaction of a group of subjects towards a selected number of antismoking PSAs. In particular, a campaign characterized by a symbolic communication style (classified as \"awarded\" on the basis of the prizes received by specialized committees) obtained the highest approach values, as estimated by the AW index. A spot and an image belonging to the same PSA campaign based on the \"fear arousing appeal\" and with a narrative/experiential communication style (classified as \"effective\" on the basis of the economical/health-related improvements promoted) reported the lowest and highest effort values, respectively. This is probably due to the complexity of the storytelling (spot) and to the immediateness of the image (a lady who underwent a tracheotomy). Finally, the same \"effective\" campaign showed the highest EI values, possibly because of the empathy induced by the testimonial and the explicitness of the message.","author":[{"dropping-particle":"","family":"Cartocci","given":"Giulia","non-dropping-particle":"","parse-names":false,"suffix":""},{"dropping-particle":"","family":"Caratù","given":"Myriam","non-dropping-particle":"","parse-names":false,"suffix":""},{"dropping-particle":"","family":"Modica","given":"Enrica","non-dropping-particle":"","parse-names":false,"suffix":""},{"dropping-particle":"","family":"Maglione","given":"Anton Giulio","non-dropping-particle":"","parse-names":false,"suffix":""},{"dropping-particle":"","family":"Rossi","given":"Dario","non-dropping-particle":"","parse-names":false,"suffix":""},{"dropping-particle":"","family":"Cherubino","given":"Patrizia","non-dropping-particle":"","parse-names":false,"suffix":""},{"dropping-particle":"","family":"Babiloni","given":"Fabio","non-dropping-particle":"","parse-names":false,"suffix":""}],"container-title":"Journal of visualized experiments : JoVE","id":"ITEM-3","issue":"126","issued":{"date-parts":[["2017","8","1"]]},"publisher":"J Vis Exp","title":"Electroencephalographic, Heart Rate, and Galvanic Skin Response Assessment for an Advertising Perception Study: Application to Antismoking Public Service Announcements","type":"article-journal","volume":"2017"},"uris":["http://www.mendeley.com/documents/?uuid=b1a11dba-e9c1-32c6-8438-5015ae579a4e"]},{"id":"ITEM-4","itemData":{"DOI":"10.1109/RBME.2017.2694142","ISSN":"1937-3333","abstract":"This article provides the reader a focused and organised review of the research progresses on neurophysiological indicators, also called “neurometrics”, to show how neurometrics could effectively address some of the most important Human Factors (HFs) needs in the Air Traffic Management (ATM) field. The state of the art on the most involved HFs and related cognitive processes (e.g. mental workload, cognitive training) is presented together with examples of possible applications in the current and future ATM scenarios, in order to better understand and highlight the available opportunities of such neuroscientific applications. Furthermore, the paper will discuss the potential enhancement that further research and development activities could bring to the efficiency and safety of the ATM service.","author":[{"dropping-particle":"","family":"Arico","given":"P.","non-dropping-particle":"","parse-names":false,"suffix":""},{"dropping-particle":"","family":"Borghini","given":"G.","non-dropping-particle":"","parse-names":false,"suffix":""},{"dropping-particle":"Di","family":"Flumeri","given":"G.","non-dropping-particle":"","parse-names":false,"suffix":""},{"dropping-particle":"","family":"Bonelli","given":"S.","non-dropping-particle":"","parse-names":false,"suffix":""},{"dropping-particle":"","family":"Golfetti","given":"A.","non-dropping-particle":"","parse-names":false,"suffix":""},{"dropping-particle":"","family":"Graziani","given":"I.","non-dropping-particle":"","parse-names":false,"suffix":""},{"dropping-particle":"","family":"Pozzi","given":"S.","non-dropping-particle":"","parse-names":false,"suffix":""},{"dropping-particle":"","family":"Imbert","given":"J. P.","non-dropping-particle":"","parse-names":false,"suffix":""},{"dropping-particle":"","family":"Granger","given":"G.","non-dropping-particle":"","parse-names":false,"suffix":""},{"dropping-particle":"","family":"Benhacene","given":"R.","non-dropping-particle":"","parse-names":false,"suffix":""},{"dropping-particle":"","family":"Schaefer","given":"D.","non-dropping-particle":"","parse-names":false,"suffix":""},{"dropping-particle":"","family":"Babiloni","given":"F.","non-dropping-particle":"","parse-names":false,"suffix":""}],"container-title":"IEEE Reviews in Biomedical Engineering","id":"ITEM-4","issue":"99","issued":{"date-parts":[["2017"]]},"page":"1-1","title":"Human Factors and Neurophysiological Metrics in Air Traffic Control: a Critical Review","title-short":"Human Factors and Neurophysiological Metrics in Ai","type":"article-journal","volume":"PP"},"uris":["http://www.mendeley.com/documents/?uuid=b1c99e02-9c99-4a44-8e2d-6b6f33789a5a"]},{"id":"ITEM-5","itemData":{"DOI":"10.1109/TBME.2017.2694856","ISSN":"0018-9294","PMID":"28436837","abstract":"GOAL This minireview aims to highlight recent important aspects to consider and evaluate when passive brain-computer interface (pBCI) systems would be developed and used in operational environments, and remarks future directions of their applications. METHODS Electroencephalography (EEG) based pBCI has become an important tool for real-time analysis of brain activity since it could potentially provide covertly-without distracting the user from the main task-and objectively-not affected by the subjective judgment of an observer or the user itself-information about the operator cognitive state. RESULTS Different examples of pBCI applications in operational environments and new adaptive interface solutions have been presented and described. In addition, a general overview regarding the correct use of machine learning techniques (e.g., which algorithm to use, common pitfalls to avoid, etc.) in the pBCI field has been provided. CONCLUSION Despite recent innovations on algorithms and neurotechnology, pBCI systems are not completely ready to enter the market yet, mainly due to limitations of the EEG electrodes technology, and algorithms reliability and capability in real settings. SIGNIFICANCE High complexity and safety critical systems (e.g., airplanes, ATM interfaces) should adapt their behaviors and functionality accordingly to the user' actual mental state. Thus, technologies (i.e., pBCIs) able to measure in real time the user's mental states would result very useful in such \"high risk\" environments to enhance human machine interaction, and so increase the overall safety.","author":[{"dropping-particle":"","family":"Arico","given":"Pietro","non-dropping-particle":"","parse-names":false,"suffix":""},{"dropping-particle":"","family":"Borghini","given":"Gianluca","non-dropping-particle":"","parse-names":false,"suffix":""},{"dropping-particle":"","family":"Flumeri","given":"Gianluca","non-dropping-particle":"Di","parse-names":false,"suffix":""},{"dropping-particle":"","family":"Sciaraffa","given":"Nicolina","non-dropping-particle":"","parse-names":false,"suffix":""},{"dropping-particle":"","family":"Colosimo","given":"Alfredo","non-dropping-particle":"","parse-names":false,"suffix":""},{"dropping-particle":"","family":"Babiloni","given":"Fabio","non-dropping-particle":"","parse-names":false,"suffix":""}],"container-title":"IEEE Transactions on Biomedical Engineering","id":"ITEM-5","issue":"7","issued":{"date-parts":[["2017","7"]]},"page":"1431-1436","title":"Passive BCI in Operational Environments: Insights, Recent Advances, and Future Trends","type":"article-journal","volume":"64"},"uris":["http://www.mendeley.com/documents/?uuid=73fc57e4-c0c0-3884-b26d-2a9842362d48"]}],"mendeley":{"formattedCitation":"[35], [51], [52], [56], [57]","plainTextFormattedCitation":"[35], [51], [52], [56], [57]","previouslyFormattedCitation":"[35], [51], [52], [56], [57]"},"properties":{"noteIndex":0},"schema":"https://github.com/citation-style-language/schema/raw/master/csl-citation.json"}</w:instrText>
      </w:r>
      <w:r>
        <w:fldChar w:fldCharType="separate"/>
      </w:r>
      <w:r w:rsidRPr="00DC728B">
        <w:rPr>
          <w:noProof/>
        </w:rPr>
        <w:t>[35], [51], [52], [56], [57]</w:t>
      </w:r>
      <w:r>
        <w:fldChar w:fldCharType="end"/>
      </w:r>
      <w:r>
        <w:t>.</w:t>
      </w:r>
      <w:r w:rsidRPr="00B71D19">
        <w:t xml:space="preserve"> </w:t>
      </w:r>
    </w:p>
    <w:p w14:paraId="2D66ED6E" w14:textId="77777777" w:rsidR="00821405" w:rsidRPr="00B71D19" w:rsidRDefault="00821405" w:rsidP="00821405">
      <w:pPr>
        <w:pStyle w:val="BodyText"/>
      </w:pPr>
    </w:p>
    <w:p w14:paraId="60AF63A3" w14:textId="77777777" w:rsidR="00821405" w:rsidRPr="00B71D19" w:rsidRDefault="00821405" w:rsidP="00821405">
      <w:pPr>
        <w:pStyle w:val="BodyText"/>
      </w:pPr>
      <w:r w:rsidRPr="00B71D19">
        <w:t xml:space="preserve">The Workload neurometric </w:t>
      </w:r>
      <w:r>
        <w:t>is</w:t>
      </w:r>
      <w:r w:rsidRPr="00B71D19">
        <w:t xml:space="preserve"> defined as:</w:t>
      </w:r>
    </w:p>
    <w:p w14:paraId="438E3EEA" w14:textId="77777777" w:rsidR="00821405" w:rsidRPr="00B71D19" w:rsidRDefault="00821405" w:rsidP="00821405">
      <w:pPr>
        <w:pStyle w:val="BodyText"/>
      </w:pPr>
    </w:p>
    <w:p w14:paraId="43107F4F" w14:textId="77777777" w:rsidR="00821405" w:rsidRPr="00B71D19" w:rsidRDefault="00821405" w:rsidP="00821405">
      <w:pPr>
        <w:pStyle w:val="BodyText"/>
      </w:pPr>
      <m:oMathPara>
        <m:oMath>
          <m:r>
            <w:rPr>
              <w:rFonts w:ascii="Cambria Math" w:hAnsi="Cambria Math"/>
            </w:rPr>
            <m:t>WL=</m:t>
          </m:r>
          <m:f>
            <m:fPr>
              <m:ctrlPr>
                <w:rPr>
                  <w:rFonts w:ascii="Cambria Math" w:hAnsi="Cambria Math"/>
                  <w:i/>
                </w:rPr>
              </m:ctrlPr>
            </m:fPr>
            <m:num>
              <m:r>
                <w:rPr>
                  <w:rFonts w:ascii="Cambria Math" w:hAnsi="Cambria Math"/>
                </w:rPr>
                <m:t xml:space="preserve"> Theta(Frontal Channels)</m:t>
              </m:r>
            </m:num>
            <m:den>
              <m:r>
                <w:rPr>
                  <w:rFonts w:ascii="Cambria Math" w:hAnsi="Cambria Math"/>
                </w:rPr>
                <m:t xml:space="preserve"> Alpha(Parietal Channels)</m:t>
              </m:r>
            </m:den>
          </m:f>
        </m:oMath>
      </m:oMathPara>
    </w:p>
    <w:p w14:paraId="6AF0CD8B" w14:textId="77777777" w:rsidR="00821405" w:rsidRPr="00B71D19" w:rsidRDefault="00821405" w:rsidP="00821405">
      <w:pPr>
        <w:pStyle w:val="BodyText"/>
      </w:pPr>
    </w:p>
    <w:p w14:paraId="330A3127" w14:textId="77777777" w:rsidR="00821405" w:rsidRPr="00B71D19" w:rsidRDefault="00821405" w:rsidP="00821405">
      <w:pPr>
        <w:pStyle w:val="BodyText"/>
      </w:pPr>
    </w:p>
    <w:p w14:paraId="290C6F20" w14:textId="77777777" w:rsidR="00821405" w:rsidRPr="00B71D19" w:rsidRDefault="00821405" w:rsidP="00821405">
      <w:pPr>
        <w:pStyle w:val="BodyText"/>
      </w:pPr>
      <w:r w:rsidRPr="00B71D19">
        <w:t xml:space="preserve">The Stress neurometric </w:t>
      </w:r>
      <w:r>
        <w:t>is</w:t>
      </w:r>
      <w:r w:rsidRPr="00B71D19">
        <w:t xml:space="preserve"> defined as:</w:t>
      </w:r>
    </w:p>
    <w:p w14:paraId="5D0FDCD0" w14:textId="77777777" w:rsidR="00821405" w:rsidRPr="00B71D19" w:rsidRDefault="00821405" w:rsidP="00821405">
      <w:pPr>
        <w:pStyle w:val="BodyText"/>
      </w:pPr>
    </w:p>
    <w:p w14:paraId="44970EA0" w14:textId="77777777" w:rsidR="00821405" w:rsidRPr="00B71D19" w:rsidRDefault="00821405" w:rsidP="00821405">
      <w:pPr>
        <w:pStyle w:val="BodyText"/>
      </w:pPr>
      <m:oMathPara>
        <m:oMath>
          <m:r>
            <w:rPr>
              <w:rFonts w:ascii="Cambria Math" w:hAnsi="Cambria Math"/>
            </w:rPr>
            <m:t>Stress=BetaHigh (P3,P4)</m:t>
          </m:r>
        </m:oMath>
      </m:oMathPara>
    </w:p>
    <w:p w14:paraId="7218DBA6" w14:textId="77777777" w:rsidR="00821405" w:rsidRPr="00B71D19" w:rsidRDefault="00821405" w:rsidP="00821405">
      <w:pPr>
        <w:pStyle w:val="BodyText"/>
      </w:pPr>
    </w:p>
    <w:p w14:paraId="3EAF731B" w14:textId="77777777" w:rsidR="00821405" w:rsidRPr="00B71D19" w:rsidRDefault="00821405" w:rsidP="00821405">
      <w:pPr>
        <w:pStyle w:val="BodyText"/>
      </w:pPr>
      <w:r w:rsidRPr="00B71D19">
        <w:t xml:space="preserve">The </w:t>
      </w:r>
      <w:r>
        <w:t>Approach-Withdrawal</w:t>
      </w:r>
      <w:r w:rsidRPr="00B71D19">
        <w:t xml:space="preserve"> </w:t>
      </w:r>
      <w:r>
        <w:t>is</w:t>
      </w:r>
      <w:r w:rsidRPr="00B71D19">
        <w:t xml:space="preserve"> defined as:</w:t>
      </w:r>
    </w:p>
    <w:p w14:paraId="6BDF99C3" w14:textId="77777777" w:rsidR="00821405" w:rsidRPr="00B71D19" w:rsidRDefault="00821405" w:rsidP="00821405">
      <w:pPr>
        <w:pStyle w:val="BodyText"/>
      </w:pPr>
    </w:p>
    <w:p w14:paraId="7C1ACE90" w14:textId="77777777" w:rsidR="00821405" w:rsidRPr="00B71D19" w:rsidRDefault="00821405" w:rsidP="00821405">
      <w:pPr>
        <w:pStyle w:val="BodyText"/>
      </w:pPr>
      <m:oMathPara>
        <m:oMath>
          <m:r>
            <w:rPr>
              <w:rFonts w:ascii="Cambria Math" w:hAnsi="Cambria Math"/>
            </w:rPr>
            <m:t xml:space="preserve">AW=Alpha </m:t>
          </m:r>
          <m:d>
            <m:dPr>
              <m:ctrlPr>
                <w:rPr>
                  <w:rFonts w:ascii="Cambria Math" w:hAnsi="Cambria Math"/>
                  <w:i/>
                </w:rPr>
              </m:ctrlPr>
            </m:dPr>
            <m:e>
              <m:r>
                <w:rPr>
                  <w:rFonts w:ascii="Cambria Math" w:hAnsi="Cambria Math"/>
                </w:rPr>
                <m:t>Frontal Dx</m:t>
              </m:r>
            </m:e>
          </m:d>
          <m:r>
            <w:rPr>
              <w:rFonts w:ascii="Cambria Math" w:hAnsi="Cambria Math"/>
            </w:rPr>
            <m:t>-Alpha (Frontal Sx)</m:t>
          </m:r>
        </m:oMath>
      </m:oMathPara>
    </w:p>
    <w:p w14:paraId="2B736CEA" w14:textId="77777777" w:rsidR="00821405" w:rsidRPr="00B71D19" w:rsidRDefault="00821405" w:rsidP="00821405">
      <w:pPr>
        <w:pStyle w:val="BodyText"/>
      </w:pPr>
    </w:p>
    <w:p w14:paraId="06261791" w14:textId="77777777" w:rsidR="00821405" w:rsidRPr="00B71D19" w:rsidRDefault="00821405" w:rsidP="00821405">
      <w:pPr>
        <w:pStyle w:val="BodyText"/>
      </w:pPr>
    </w:p>
    <w:p w14:paraId="7E62BEE2" w14:textId="77777777" w:rsidR="00821405" w:rsidRDefault="00821405" w:rsidP="00821405">
      <w:pPr>
        <w:pStyle w:val="BodyText"/>
      </w:pPr>
    </w:p>
    <w:p w14:paraId="2D41E08F" w14:textId="77777777" w:rsidR="00821405" w:rsidRDefault="00821405" w:rsidP="00821405">
      <w:pPr>
        <w:pStyle w:val="Heading2"/>
        <w:numPr>
          <w:ilvl w:val="1"/>
          <w:numId w:val="20"/>
        </w:numPr>
      </w:pPr>
      <w:bookmarkStart w:id="46" w:name="_Toc99543115"/>
      <w:bookmarkStart w:id="47" w:name="_Toc103332740"/>
      <w:r>
        <w:t>GSR processing chain</w:t>
      </w:r>
      <w:bookmarkEnd w:id="46"/>
      <w:bookmarkEnd w:id="47"/>
    </w:p>
    <w:p w14:paraId="53509C8C" w14:textId="56108B68" w:rsidR="00821405" w:rsidRDefault="00821405" w:rsidP="00821405">
      <w:pPr>
        <w:pStyle w:val="BodyText"/>
      </w:pPr>
      <w:r w:rsidRPr="001F6E6B">
        <w:t xml:space="preserve">The signal related to the Skin Conductance, named hereafter Galvanic Skin Response (GSR), </w:t>
      </w:r>
      <w:r>
        <w:t>will be</w:t>
      </w:r>
      <w:r w:rsidRPr="001F6E6B">
        <w:t xml:space="preserve"> recorded by means of two electrodes on the first phalanx of the index and middle fingers</w:t>
      </w:r>
      <w:r>
        <w:t>. A</w:t>
      </w:r>
      <w:r w:rsidRPr="001F6E6B">
        <w:t xml:space="preserve"> constant potential is applied </w:t>
      </w:r>
      <w:r w:rsidR="00804429" w:rsidRPr="001F6E6B">
        <w:t>to</w:t>
      </w:r>
      <w:r w:rsidRPr="001F6E6B">
        <w:t xml:space="preserve"> induce a skin electrical current. The variations of such current are functions of the skin conductance variations. The recorded signal </w:t>
      </w:r>
      <w:r>
        <w:t>will be</w:t>
      </w:r>
      <w:r w:rsidRPr="001F6E6B">
        <w:t xml:space="preserve"> </w:t>
      </w:r>
      <w:r w:rsidR="00804429" w:rsidRPr="001F6E6B">
        <w:t>down sampled</w:t>
      </w:r>
      <w:r w:rsidRPr="001F6E6B">
        <w:t xml:space="preserve"> </w:t>
      </w:r>
      <w:r>
        <w:t xml:space="preserve">(from 64Hz) </w:t>
      </w:r>
      <w:r w:rsidRPr="001F6E6B">
        <w:t xml:space="preserve">to 8 Hz, </w:t>
      </w:r>
      <w:r w:rsidR="00804429" w:rsidRPr="001F6E6B">
        <w:t>to</w:t>
      </w:r>
      <w:r w:rsidRPr="001F6E6B">
        <w:t xml:space="preserve"> reduce the data amount. Secondly, the signal </w:t>
      </w:r>
      <w:r>
        <w:t>is</w:t>
      </w:r>
      <w:r w:rsidRPr="001F6E6B">
        <w:t xml:space="preserve"> filtered through a 5th order Butterworth low-pass filter, with the cut-off frequency at 2 Hz, </w:t>
      </w:r>
      <w:r w:rsidR="00804429" w:rsidRPr="001F6E6B">
        <w:t>to</w:t>
      </w:r>
      <w:r w:rsidRPr="001F6E6B">
        <w:t xml:space="preserve"> remove all the higher frequency components that are not related to the electrodermal activity, such as artifacts due to movements and fast high pressure on the electrode–skin contact surface. In particular, the latter causes fast and short signal peaks over the GSR signal: in this case a double-step procedure (automatic detection and expert visual check) </w:t>
      </w:r>
      <w:r>
        <w:t>will be applied</w:t>
      </w:r>
      <w:r w:rsidRPr="001F6E6B">
        <w:t xml:space="preserve"> in order to recognize the artefactual transient and to correct it by interpolating the corresponding signal through a piecewise cubic spline </w:t>
      </w:r>
      <w:r w:rsidRPr="001F6E6B">
        <w:fldChar w:fldCharType="begin" w:fldLock="1"/>
      </w:r>
      <w:r>
        <w:instrText>ADDIN CSL_CITATION {"citationItems":[{"id":"ITEM-1","itemData":{"author":[{"dropping-particle":"","family":"Boor","given":"Carl","non-dropping-particle":"De","parse-names":false,"suffix":""},{"dropping-particle":"","family":"Boor","given":"Carl","non-dropping-particle":"De","parse-names":false,"suffix":""}],"id":"ITEM-1","issued":{"date-parts":[["1978"]]},"publisher":"springer-verlag New York","title":"A practical guide to splines","type":"book","volume":"27"},"uris":["http://www.mendeley.com/documents/?uuid=df47d9e4-585e-4a08-bfd9-36a999e78cf9","http://www.mendeley.com/documents/?uuid=2e4ad311-f685-435e-a343-c99c1ca58afb"]}],"mendeley":{"formattedCitation":"[58]","plainTextFormattedCitation":"[58]","previouslyFormattedCitation":"[58]"},"properties":{"noteIndex":0},"schema":"https://github.com/citation-style-language/schema/raw/master/csl-citation.json"}</w:instrText>
      </w:r>
      <w:r w:rsidRPr="001F6E6B">
        <w:fldChar w:fldCharType="separate"/>
      </w:r>
      <w:r w:rsidRPr="00DC728B">
        <w:rPr>
          <w:noProof/>
        </w:rPr>
        <w:t>[58]</w:t>
      </w:r>
      <w:r w:rsidRPr="001F6E6B">
        <w:fldChar w:fldCharType="end"/>
      </w:r>
      <w:r w:rsidRPr="001F6E6B">
        <w:t xml:space="preserve">. Then, the signal </w:t>
      </w:r>
      <w:r>
        <w:t xml:space="preserve">will be </w:t>
      </w:r>
      <w:r w:rsidRPr="001F6E6B">
        <w:t xml:space="preserve">processed by using the Ledalab suite, a specific open-source toolbox implemented within MATLAB for the GSR processing: the Continuous Decomposition Analysis </w:t>
      </w:r>
      <w:r w:rsidRPr="001F6E6B">
        <w:fldChar w:fldCharType="begin" w:fldLock="1"/>
      </w:r>
      <w:r>
        <w:instrText>ADDIN CSL_CITATION {"citationItems":[{"id":"ITEM-1","itemData":{"ISSN":"0048-5772","author":[{"dropping-particle":"","family":"Benedek","given":"Mathias","non-dropping-particle":"","parse-names":false,"suffix":""},{"dropping-particle":"","family":"Kaernbach","given":"Christian","non-dropping-particle":"","parse-names":false,"suffix":""}],"container-title":"psychophysiology","id":"ITEM-1","issue":"4","issued":{"date-parts":[["2010"]]},"page":"647-658","publisher":"Wiley Online Library","title":"Decomposition of skin conductance data by means of nonnegative deconvolution","type":"article-journal","volume":"47"},"uris":["http://www.mendeley.com/documents/?uuid=683e23f4-95c7-4b20-b2b6-8b05fabc6d4b","http://www.mendeley.com/documents/?uuid=61d55883-3514-49b5-b67a-2e42949a8521"]}],"mendeley":{"formattedCitation":"[22]","plainTextFormattedCitation":"[22]","previouslyFormattedCitation":"[22]"},"properties":{"noteIndex":0},"schema":"https://github.com/citation-style-language/schema/raw/master/csl-citation.json"}</w:instrText>
      </w:r>
      <w:r w:rsidRPr="001F6E6B">
        <w:fldChar w:fldCharType="separate"/>
      </w:r>
      <w:r w:rsidRPr="00EE1C5A">
        <w:rPr>
          <w:noProof/>
        </w:rPr>
        <w:t>[22]</w:t>
      </w:r>
      <w:r w:rsidRPr="001F6E6B">
        <w:fldChar w:fldCharType="end"/>
      </w:r>
      <w:r w:rsidRPr="001F6E6B">
        <w:t xml:space="preserve"> </w:t>
      </w:r>
      <w:r>
        <w:t>will be</w:t>
      </w:r>
      <w:r w:rsidRPr="001F6E6B">
        <w:t xml:space="preserve"> applied in order to separate the Tonic (Skin Conductance Level—SCL) and the Phasic (Skin Conductance Response—SCR) components of the GSR. </w:t>
      </w:r>
      <w:r>
        <w:t>The</w:t>
      </w:r>
      <w:r w:rsidRPr="001F6E6B">
        <w:t xml:space="preserve"> mean value of the SCL during the experimental conditions </w:t>
      </w:r>
      <w:r>
        <w:t>will be</w:t>
      </w:r>
      <w:r w:rsidRPr="001F6E6B">
        <w:t xml:space="preserve"> employed as </w:t>
      </w:r>
      <w:r>
        <w:t xml:space="preserve">additional </w:t>
      </w:r>
      <w:r w:rsidRPr="001F6E6B">
        <w:t>measure of stress</w:t>
      </w:r>
      <w:r>
        <w:t>.</w:t>
      </w:r>
    </w:p>
    <w:p w14:paraId="56929574" w14:textId="77777777" w:rsidR="00821405" w:rsidRDefault="00821405" w:rsidP="00821405">
      <w:pPr>
        <w:pStyle w:val="Heading1"/>
        <w:numPr>
          <w:ilvl w:val="0"/>
          <w:numId w:val="20"/>
        </w:numPr>
        <w:ind w:left="431" w:hanging="431"/>
        <w:jc w:val="both"/>
        <w:rPr>
          <w:rFonts w:asciiTheme="minorHAnsi" w:hAnsiTheme="minorHAnsi" w:cstheme="minorHAnsi"/>
        </w:rPr>
      </w:pPr>
      <w:bookmarkStart w:id="48" w:name="_Toc99543116"/>
      <w:bookmarkStart w:id="49" w:name="_Toc103332741"/>
      <w:r>
        <w:rPr>
          <w:rFonts w:asciiTheme="minorHAnsi" w:hAnsiTheme="minorHAnsi" w:cstheme="minorHAnsi"/>
        </w:rPr>
        <w:lastRenderedPageBreak/>
        <w:t>Biosignals recording systems</w:t>
      </w:r>
      <w:bookmarkEnd w:id="48"/>
      <w:bookmarkEnd w:id="49"/>
    </w:p>
    <w:p w14:paraId="507C60E0" w14:textId="77777777" w:rsidR="00821405" w:rsidRDefault="00821405" w:rsidP="00821405">
      <w:pPr>
        <w:pStyle w:val="BodyText"/>
      </w:pPr>
      <w:r>
        <w:t xml:space="preserve">This paragraph will introduce the technology that it is expected to be employed during the ARTIMATION validation activities to record the previously ascribed neurophysiological measures. </w:t>
      </w:r>
    </w:p>
    <w:p w14:paraId="4E9D5421" w14:textId="77777777" w:rsidR="00821405" w:rsidRDefault="00821405" w:rsidP="00821405">
      <w:pPr>
        <w:pStyle w:val="Heading2"/>
        <w:numPr>
          <w:ilvl w:val="1"/>
          <w:numId w:val="20"/>
        </w:numPr>
      </w:pPr>
      <w:bookmarkStart w:id="50" w:name="_Toc99543117"/>
      <w:bookmarkStart w:id="51" w:name="_Toc103332742"/>
      <w:r>
        <w:t>EEG Technology</w:t>
      </w:r>
      <w:bookmarkEnd w:id="50"/>
      <w:bookmarkEnd w:id="51"/>
    </w:p>
    <w:p w14:paraId="04B15F44" w14:textId="53C0FFC7" w:rsidR="00821405" w:rsidRDefault="00821405" w:rsidP="00821405">
      <w:pPr>
        <w:pStyle w:val="BodyText"/>
      </w:pPr>
      <w:r>
        <w:t xml:space="preserve">Because in some of the conditions of the validation activities the participants must use a Virtual Reality system (e.g., Oculus VR), we chose an EEG technology compatible with the VR helmet, already validated during the MOTO project (GA969379), in which the participants </w:t>
      </w:r>
      <w:r w:rsidR="00804429">
        <w:t>must</w:t>
      </w:r>
      <w:r>
        <w:t xml:space="preserve"> wear a VR helmet for all the experiment duration, lasting about 2 hours. The same technology was also employed already in many other research projects involving ATCOs (i.e., NINA, STRESS, MINIMA), demonstrating to not negatively affect the operational task. </w:t>
      </w:r>
    </w:p>
    <w:p w14:paraId="23A06F0C" w14:textId="77777777" w:rsidR="00821405" w:rsidRDefault="00821405" w:rsidP="00821405">
      <w:pPr>
        <w:pStyle w:val="BodyText"/>
      </w:pPr>
      <w:r>
        <w:t>In particular, EEG</w:t>
      </w:r>
      <w:r w:rsidRPr="00B60215">
        <w:t xml:space="preserve"> </w:t>
      </w:r>
      <w:r>
        <w:t>will be recorded</w:t>
      </w:r>
      <w:r w:rsidRPr="00B60215">
        <w:t xml:space="preserve"> by means of electrodes placed on the brain scalp</w:t>
      </w:r>
      <w:r>
        <w:t xml:space="preserve"> following the</w:t>
      </w:r>
      <w:r w:rsidRPr="00B60215">
        <w:t xml:space="preserve"> traditional </w:t>
      </w:r>
      <w:r w:rsidRPr="00B60215">
        <w:rPr>
          <w:i/>
        </w:rPr>
        <w:t>10–20 electrode system</w:t>
      </w:r>
      <w:r w:rsidRPr="00B60215">
        <w:t xml:space="preserve"> </w:t>
      </w:r>
      <w:r>
        <w:fldChar w:fldCharType="begin" w:fldLock="1"/>
      </w:r>
      <w:r>
        <w:instrText>ADDIN CSL_CITATION {"citationItems":[{"id":"ITEM-1","itemData":{"author":[{"dropping-particle":"","family":"Jasper","given":"HH","non-dropping-particle":"","parse-names":false,"suffix":""}],"container-title":"Electroencephalography and Clinical Neurophysiology","id":"ITEM-1","issued":{"date-parts":[["1958"]]},"page":"371-375","title":"The ten twenty electrode system of the international federation","type":"article-journal","volume":"10"},"uris":["http://www.mendeley.com/documents/?uuid=d93cfcd8-53af-4bb9-ac9b-49caf30e5681"]}],"mendeley":{"formattedCitation":"[5]","plainTextFormattedCitation":"[5]","previouslyFormattedCitation":"[5]"},"properties":{"noteIndex":0},"schema":"https://github.com/citation-style-language/schema/raw/master/csl-citation.json"}</w:instrText>
      </w:r>
      <w:r>
        <w:fldChar w:fldCharType="separate"/>
      </w:r>
      <w:r w:rsidRPr="00EE1C5A">
        <w:rPr>
          <w:noProof/>
        </w:rPr>
        <w:t>[5]</w:t>
      </w:r>
      <w:r>
        <w:fldChar w:fldCharType="end"/>
      </w:r>
      <w:r w:rsidRPr="00B60215">
        <w:t xml:space="preserve"> (</w:t>
      </w:r>
      <w:r>
        <w:t>Figure 6</w:t>
      </w:r>
      <w:r w:rsidRPr="00B60215">
        <w:t xml:space="preserve">). Knowledge of the exact positions of electrodes is very important for both interpretation of a single recording as well as comparison of results, hence the need for standardization. </w:t>
      </w:r>
    </w:p>
    <w:p w14:paraId="5CD0F3CD" w14:textId="2E215DD2" w:rsidR="00821405" w:rsidRDefault="00821405" w:rsidP="00821405">
      <w:pPr>
        <w:pStyle w:val="BodyText"/>
      </w:pPr>
      <w:r w:rsidRPr="00B60215">
        <w:t xml:space="preserve">EEG electrodes can be produced with the shape of a cup, disc or needle, and are usually made of Silver (Ag) and Silver chloride (AgCl). Before placing the electrodes over the scalp, it is necessary to rub scalp skin with pastes or alcohol solutions, </w:t>
      </w:r>
      <w:r w:rsidR="00804429" w:rsidRPr="00B60215">
        <w:t>to</w:t>
      </w:r>
      <w:r w:rsidRPr="00B60215">
        <w:t xml:space="preserve"> remove all the substances and any kind of impurity generally present over the scalp epidermis. Then, traditional Ag/AgCl electrodes require an electrolyte gel that facilitates the transduction of the ionic currents between the skin and the electrode. Furthermore, the electrode-skin impedance must be controlled and adapted to achieve acceptable low values, typically 5 ÷ 20 KΩ </w:t>
      </w:r>
      <w:r>
        <w:fldChar w:fldCharType="begin" w:fldLock="1"/>
      </w:r>
      <w:r>
        <w:instrText>ADDIN CSL_CITATION {"citationItems":[{"id":"ITEM-1","itemData":{"URL":"https://www.amazon.it/Noise-Reduction-Techniques-Electronic-Systems/dp/0471850683","accessed":{"date-parts":[["2022","1","28"]]},"id":"ITEM-1","issued":{"date-parts":[["0"]]},"title":"Noise Reduction Techniques in Electronic Systems : Ott, Henry W.: Amazon.it: Libri","type":"webpage"},"uris":["http://www.mendeley.com/documents/?uuid=8eef07d7-4674-3973-baf4-c94e7e3eb784"]}],"mendeley":{"formattedCitation":"[59]","plainTextFormattedCitation":"[59]","previouslyFormattedCitation":"[59]"},"properties":{"noteIndex":0},"schema":"https://github.com/citation-style-language/schema/raw/master/csl-citation.json"}</w:instrText>
      </w:r>
      <w:r>
        <w:fldChar w:fldCharType="separate"/>
      </w:r>
      <w:r w:rsidRPr="00DC728B">
        <w:rPr>
          <w:noProof/>
        </w:rPr>
        <w:t>[59]</w:t>
      </w:r>
      <w:r>
        <w:fldChar w:fldCharType="end"/>
      </w:r>
      <w:r w:rsidRPr="00B60215">
        <w:t>.</w:t>
      </w:r>
    </w:p>
    <w:p w14:paraId="5725F482" w14:textId="77777777" w:rsidR="00821405" w:rsidRDefault="00821405" w:rsidP="00821405">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821405" w14:paraId="448462FF" w14:textId="77777777" w:rsidTr="00DE3760">
        <w:tc>
          <w:tcPr>
            <w:tcW w:w="9060" w:type="dxa"/>
          </w:tcPr>
          <w:p w14:paraId="662214C9" w14:textId="77777777" w:rsidR="00821405" w:rsidRDefault="00821405" w:rsidP="00DE3760">
            <w:pPr>
              <w:pStyle w:val="BodyText"/>
            </w:pPr>
            <w:r>
              <w:rPr>
                <w:noProof/>
              </w:rPr>
              <w:drawing>
                <wp:inline distT="0" distB="0" distL="0" distR="0" wp14:anchorId="1A8F85AF" wp14:editId="0F083CB4">
                  <wp:extent cx="5761355" cy="2743200"/>
                  <wp:effectExtent l="0" t="0" r="0" b="0"/>
                  <wp:docPr id="3" name="Immagine 3" descr="Immagine che contiene testo, interni,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 interni, computer&#10;&#10;Descrizione generata automa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2743200"/>
                          </a:xfrm>
                          <a:prstGeom prst="rect">
                            <a:avLst/>
                          </a:prstGeom>
                          <a:noFill/>
                        </pic:spPr>
                      </pic:pic>
                    </a:graphicData>
                  </a:graphic>
                </wp:inline>
              </w:drawing>
            </w:r>
          </w:p>
        </w:tc>
      </w:tr>
      <w:tr w:rsidR="00821405" w14:paraId="38BB4BF5" w14:textId="77777777" w:rsidTr="00DE3760">
        <w:tc>
          <w:tcPr>
            <w:tcW w:w="9060" w:type="dxa"/>
          </w:tcPr>
          <w:p w14:paraId="25D6B3C5" w14:textId="77777777" w:rsidR="00821405" w:rsidRDefault="00821405" w:rsidP="00DE3760">
            <w:pPr>
              <w:pStyle w:val="BodyText"/>
            </w:pPr>
            <w:bookmarkStart w:id="52" w:name="_Toc99543000"/>
            <w:bookmarkStart w:id="53" w:name="_Toc103332726"/>
            <w:r w:rsidRPr="005821F8">
              <w:t xml:space="preserve">Figure </w:t>
            </w:r>
            <w:r w:rsidRPr="005821F8">
              <w:fldChar w:fldCharType="begin"/>
            </w:r>
            <w:r w:rsidRPr="005821F8">
              <w:instrText xml:space="preserve"> SEQ Figure \* ARABIC </w:instrText>
            </w:r>
            <w:r w:rsidRPr="005821F8">
              <w:fldChar w:fldCharType="separate"/>
            </w:r>
            <w:r>
              <w:rPr>
                <w:noProof/>
              </w:rPr>
              <w:t>6</w:t>
            </w:r>
            <w:r w:rsidRPr="005821F8">
              <w:fldChar w:fldCharType="end"/>
            </w:r>
            <w:r w:rsidRPr="005821F8">
              <w:t xml:space="preserve">. </w:t>
            </w:r>
            <w:r>
              <w:t>ATCOs wearing an EEG cap</w:t>
            </w:r>
            <w:bookmarkEnd w:id="52"/>
            <w:bookmarkEnd w:id="53"/>
          </w:p>
        </w:tc>
      </w:tr>
    </w:tbl>
    <w:p w14:paraId="045DC31C" w14:textId="77777777" w:rsidR="00821405" w:rsidRDefault="00821405" w:rsidP="00821405">
      <w:pPr>
        <w:pStyle w:val="BodyText"/>
      </w:pPr>
    </w:p>
    <w:p w14:paraId="1C12B921" w14:textId="511903AD" w:rsidR="00821405" w:rsidRPr="00DB5851" w:rsidRDefault="00821405" w:rsidP="00821405">
      <w:pPr>
        <w:pStyle w:val="BodyText"/>
      </w:pPr>
      <w:r w:rsidRPr="00DB5851">
        <w:t xml:space="preserve">The </w:t>
      </w:r>
      <w:r>
        <w:t xml:space="preserve">EEG </w:t>
      </w:r>
      <w:r w:rsidRPr="00DB5851">
        <w:t>recording device</w:t>
      </w:r>
      <w:r>
        <w:t xml:space="preserve"> that will be employed is</w:t>
      </w:r>
      <w:r w:rsidRPr="00DB5851">
        <w:t xml:space="preserve"> named BE Micro</w:t>
      </w:r>
      <w:r>
        <w:t xml:space="preserve"> (from EB Neuro)</w:t>
      </w:r>
      <w:r w:rsidRPr="00DB5851">
        <w:t xml:space="preserve">, </w:t>
      </w:r>
      <w:r>
        <w:t xml:space="preserve">it </w:t>
      </w:r>
      <w:r w:rsidRPr="00DB5851">
        <w:t xml:space="preserve">is reliable, compact, lightweight, durable, and most importantly comfortable for the user. BE Micro is fully capable of performing high quality conventional EEG and ambulatory EEG monitoring. The reduced dimensions (Figure </w:t>
      </w:r>
      <w:r>
        <w:t>7</w:t>
      </w:r>
      <w:r w:rsidRPr="00DB5851">
        <w:t>), together with the EB Neuro high signal standard, make the Be Micro the polyfunctional system, not only for ambulatory/holter solution but also for EEG recordings in particular environments, such as</w:t>
      </w:r>
      <w:r>
        <w:t xml:space="preserve"> air traffic control or</w:t>
      </w:r>
      <w:r w:rsidRPr="00DB5851">
        <w:t xml:space="preserve"> aircraft cockpit. The BE Micro allows to record </w:t>
      </w:r>
      <w:r>
        <w:t>an EEG signal</w:t>
      </w:r>
      <w:r w:rsidRPr="00DB5851">
        <w:t xml:space="preserve"> with a sampling frequency of 256 samples/second. The device is closed in a plastic box with </w:t>
      </w:r>
      <w:r w:rsidR="00804429" w:rsidRPr="00DB5851">
        <w:t>an</w:t>
      </w:r>
      <w:r w:rsidRPr="00DB5851">
        <w:t xml:space="preserve"> LCD display and it has 16 EEG channels.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21405" w14:paraId="74BDC859" w14:textId="77777777" w:rsidTr="00DE3760">
        <w:tc>
          <w:tcPr>
            <w:tcW w:w="9060" w:type="dxa"/>
          </w:tcPr>
          <w:p w14:paraId="1554E40F" w14:textId="77777777" w:rsidR="00821405" w:rsidRDefault="00821405" w:rsidP="00DE3760">
            <w:pPr>
              <w:pStyle w:val="BodyText"/>
              <w:jc w:val="center"/>
            </w:pPr>
            <w:r>
              <w:rPr>
                <w:noProof/>
              </w:rPr>
              <w:drawing>
                <wp:inline distT="0" distB="0" distL="0" distR="0" wp14:anchorId="4A0D8CB9" wp14:editId="04DC6C0E">
                  <wp:extent cx="3164205" cy="2743200"/>
                  <wp:effectExtent l="0" t="0" r="0" b="0"/>
                  <wp:docPr id="17" name="Immagine 17" descr="Immagine che contiene testo, interni, portati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mmagine che contiene testo, interni, portatile&#10;&#10;Descrizione generata automa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4205" cy="2743200"/>
                          </a:xfrm>
                          <a:prstGeom prst="rect">
                            <a:avLst/>
                          </a:prstGeom>
                          <a:noFill/>
                        </pic:spPr>
                      </pic:pic>
                    </a:graphicData>
                  </a:graphic>
                </wp:inline>
              </w:drawing>
            </w:r>
          </w:p>
        </w:tc>
      </w:tr>
      <w:tr w:rsidR="00821405" w14:paraId="55BF91F4" w14:textId="77777777" w:rsidTr="00DE3760">
        <w:tc>
          <w:tcPr>
            <w:tcW w:w="9060" w:type="dxa"/>
          </w:tcPr>
          <w:p w14:paraId="2FBBE150" w14:textId="77777777" w:rsidR="00821405" w:rsidRDefault="00821405" w:rsidP="00DE3760">
            <w:pPr>
              <w:pStyle w:val="BodyText"/>
            </w:pPr>
            <w:bookmarkStart w:id="54" w:name="_Toc99543001"/>
            <w:bookmarkStart w:id="55" w:name="_Toc103332727"/>
            <w:r w:rsidRPr="005821F8">
              <w:t xml:space="preserve">Figure </w:t>
            </w:r>
            <w:r w:rsidRPr="005821F8">
              <w:fldChar w:fldCharType="begin"/>
            </w:r>
            <w:r w:rsidRPr="005821F8">
              <w:instrText xml:space="preserve"> SEQ Figure \* ARABIC </w:instrText>
            </w:r>
            <w:r w:rsidRPr="005821F8">
              <w:fldChar w:fldCharType="separate"/>
            </w:r>
            <w:r>
              <w:rPr>
                <w:noProof/>
              </w:rPr>
              <w:t>7</w:t>
            </w:r>
            <w:r w:rsidRPr="005821F8">
              <w:fldChar w:fldCharType="end"/>
            </w:r>
            <w:r w:rsidRPr="005821F8">
              <w:t xml:space="preserve">. </w:t>
            </w:r>
            <w:r>
              <w:t>BE Micro EEG recording device</w:t>
            </w:r>
            <w:bookmarkEnd w:id="54"/>
            <w:bookmarkEnd w:id="55"/>
          </w:p>
        </w:tc>
      </w:tr>
    </w:tbl>
    <w:p w14:paraId="314F19F4" w14:textId="77777777" w:rsidR="00821405" w:rsidRPr="00DB5851" w:rsidRDefault="00821405" w:rsidP="00821405">
      <w:pPr>
        <w:pStyle w:val="BodyText"/>
      </w:pPr>
    </w:p>
    <w:p w14:paraId="42A37716" w14:textId="77777777" w:rsidR="00821405" w:rsidRDefault="00821405" w:rsidP="00821405">
      <w:pPr>
        <w:pStyle w:val="BodyText"/>
      </w:pPr>
    </w:p>
    <w:p w14:paraId="141C71D8" w14:textId="77777777" w:rsidR="00821405" w:rsidRDefault="00821405" w:rsidP="00821405">
      <w:pPr>
        <w:pStyle w:val="Heading2"/>
        <w:numPr>
          <w:ilvl w:val="1"/>
          <w:numId w:val="20"/>
        </w:numPr>
      </w:pPr>
      <w:bookmarkStart w:id="56" w:name="_Toc99543118"/>
      <w:bookmarkStart w:id="57" w:name="_Toc103332743"/>
      <w:r>
        <w:t>GSR Technology</w:t>
      </w:r>
      <w:bookmarkEnd w:id="56"/>
      <w:bookmarkEnd w:id="57"/>
    </w:p>
    <w:p w14:paraId="22481FB2" w14:textId="77777777" w:rsidR="00821405" w:rsidRDefault="00821405" w:rsidP="00821405">
      <w:pPr>
        <w:pStyle w:val="BodyText"/>
      </w:pPr>
      <w:r w:rsidRPr="003C758E">
        <w:t xml:space="preserve">In the context of </w:t>
      </w:r>
      <w:r>
        <w:t>ARTIMATION</w:t>
      </w:r>
      <w:r w:rsidRPr="003C758E">
        <w:t xml:space="preserve"> we aim to continuously monitor the </w:t>
      </w:r>
      <w:r>
        <w:t>GSR by using a wearable technology already employed during previous projects (i.e., NINA, STRESS, MINIMA)</w:t>
      </w:r>
      <w:r w:rsidRPr="003C758E">
        <w:t xml:space="preserve"> </w:t>
      </w:r>
      <w:r>
        <w:t>and demonstrating that the tool does not negatively affect the operator task execution</w:t>
      </w:r>
      <w:r w:rsidRPr="003C758E">
        <w:t xml:space="preserve">. As mentioned above, the </w:t>
      </w:r>
      <w:r>
        <w:rPr>
          <w:i/>
        </w:rPr>
        <w:t>GSR</w:t>
      </w:r>
      <w:r w:rsidRPr="003C758E">
        <w:t xml:space="preserve"> is a well-accepted indicator of </w:t>
      </w:r>
      <w:r>
        <w:t xml:space="preserve">stress/arousal, </w:t>
      </w:r>
      <w:r w:rsidRPr="003C758E">
        <w:t xml:space="preserve">and it can be captured by sweat gland phenomena. When an individual is aroused, sweat gland activity is activated and increases skin conductance. Since the sweat glands are also controlled by the sympathetic nervous system (SNS), skin conductance acts as an indicator for sympathetic activation </w:t>
      </w:r>
      <w:r>
        <w:fldChar w:fldCharType="begin" w:fldLock="1"/>
      </w:r>
      <w:r>
        <w:instrText>ADDIN CSL_CITATION {"citationItems":[{"id":"ITEM-1","itemData":{"DOI":"10.1016/J.IJPSYCHO.2008.07.009","ISSN":"0167-8760","PMID":"18723054","abstract":"This paper focussed on how electrophysiological autonomic data may contribute to better understand neural substrates of emotional processing. The utility of autonomic electrophysiological markers for assessing emotional and cognitive processes is presented in the context of an important bodily arousal interface. Components of general autonomic control are reviewed and relevant neural modulations of specific autonomic variables were discussed. The role of autonomic feedback on central processes is emphasized and neural influences on autonomic activities as an index of arousal dimension, the electrodermal activity (EDA), are outlined. An overview of brain mechanisms governing generation and control of EDA is presented, and the contribution of electrodermal parameters as indices of emotional activation illustrated by data related to diurnal emotional reactivity and to non consciously subjective emotionality. Conclusions highlight the role of electrical autonomic expressions as tools to explore emotional components of mind-body-mind relationships. © 2008 Elsevier B.V. All rights reserved.","author":[{"dropping-particle":"","family":"Sequeira","given":"Henrique","non-dropping-particle":"","parse-names":false,"suffix":""},{"dropping-particle":"","family":"Hot","given":"Pascal","non-dropping-particle":"","parse-names":false,"suffix":""},{"dropping-particle":"","family":"Silvert","given":"Laetitia","non-dropping-particle":"","parse-names":false,"suffix":""},{"dropping-particle":"","family":"Delplanque","given":"Sylvain","non-dropping-particle":"","parse-names":false,"suffix":""}],"container-title":"International journal of psychophysiology : official journal of the International Organization of Psychophysiology","id":"ITEM-1","issue":"1","issued":{"date-parts":[["2009","1"]]},"page":"50-56","publisher":"Int J Psychophysiol","title":"Electrical autonomic correlates of emotion","type":"article-journal","volume":"71"},"uris":["http://www.mendeley.com/documents/?uuid=454335ae-b69a-349d-9145-469e17b03771"]}],"mendeley":{"formattedCitation":"[60]","plainTextFormattedCitation":"[60]","previouslyFormattedCitation":"[60]"},"properties":{"noteIndex":0},"schema":"https://github.com/citation-style-language/schema/raw/master/csl-citation.json"}</w:instrText>
      </w:r>
      <w:r>
        <w:fldChar w:fldCharType="separate"/>
      </w:r>
      <w:r w:rsidRPr="00DC728B">
        <w:rPr>
          <w:noProof/>
        </w:rPr>
        <w:t>[60]</w:t>
      </w:r>
      <w:r>
        <w:fldChar w:fldCharType="end"/>
      </w:r>
      <w:r w:rsidRPr="003C758E">
        <w:t xml:space="preserve">. </w:t>
      </w:r>
      <w:r>
        <w:t>The GSR</w:t>
      </w:r>
      <w:r w:rsidRPr="003C758E">
        <w:t xml:space="preserve"> </w:t>
      </w:r>
      <w:r>
        <w:t xml:space="preserve">recording system that will be employed in ARTIMATION is the </w:t>
      </w:r>
      <w:r w:rsidRPr="008A4653">
        <w:t>Shimmer3 GSR, from Shimmer Sensing</w:t>
      </w:r>
      <w:r>
        <w:t>,</w:t>
      </w:r>
      <w:r w:rsidRPr="008A4653">
        <w:t xml:space="preserve"> </w:t>
      </w:r>
      <w:r w:rsidRPr="003C758E">
        <w:t xml:space="preserve">reported in </w:t>
      </w:r>
      <w:r>
        <w:t>Figure 8.</w:t>
      </w:r>
      <w:r w:rsidRPr="003C758E">
        <w:t xml:space="preserve"> </w:t>
      </w:r>
      <w:r>
        <w:t xml:space="preserve">It </w:t>
      </w:r>
      <w:r w:rsidRPr="002C18A0">
        <w:t>provides connections and preamplification for one channel of Galvanic Skin Response data acquisition (Electrodermal Resistance Measurement – EDR/Electrodermal Activity (EDA)</w:t>
      </w:r>
      <w:r>
        <w:t xml:space="preserve"> at a sample rate of 64Hz</w:t>
      </w:r>
      <w:r w:rsidRPr="002C18A0">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21405" w14:paraId="1E9BA5CA" w14:textId="77777777" w:rsidTr="00DE3760">
        <w:tc>
          <w:tcPr>
            <w:tcW w:w="9060" w:type="dxa"/>
          </w:tcPr>
          <w:p w14:paraId="43F4BA4B" w14:textId="77777777" w:rsidR="00821405" w:rsidRDefault="00821405" w:rsidP="00DE3760">
            <w:pPr>
              <w:pStyle w:val="BodyText"/>
              <w:jc w:val="center"/>
            </w:pPr>
            <w:r w:rsidRPr="00CE5894">
              <w:rPr>
                <w:noProof/>
              </w:rPr>
              <w:lastRenderedPageBreak/>
              <w:drawing>
                <wp:inline distT="0" distB="0" distL="0" distR="0" wp14:anchorId="1729F635" wp14:editId="3FD70DAB">
                  <wp:extent cx="4012292" cy="2664834"/>
                  <wp:effectExtent l="0" t="0" r="7620" b="2540"/>
                  <wp:docPr id="11" name="Immagine 11" descr="EDA - Electrodermal activity (G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 - Electrodermal activity (GSR)"/>
                          <pic:cNvPicPr>
                            <a:picLocks noChangeAspect="1" noChangeArrowheads="1"/>
                          </pic:cNvPicPr>
                        </pic:nvPicPr>
                        <pic:blipFill>
                          <a:blip r:embed="rId21" cstate="screen">
                            <a:extLst>
                              <a:ext uri="{28A0092B-C50C-407E-A947-70E740481C1C}">
                                <a14:useLocalDpi xmlns:a14="http://schemas.microsoft.com/office/drawing/2010/main" val="0"/>
                              </a:ext>
                            </a:extLst>
                          </a:blip>
                          <a:srcRect/>
                          <a:stretch>
                            <a:fillRect/>
                          </a:stretch>
                        </pic:blipFill>
                        <pic:spPr bwMode="auto">
                          <a:xfrm>
                            <a:off x="0" y="0"/>
                            <a:ext cx="4016913" cy="2667903"/>
                          </a:xfrm>
                          <a:prstGeom prst="rect">
                            <a:avLst/>
                          </a:prstGeom>
                          <a:noFill/>
                          <a:ln>
                            <a:noFill/>
                          </a:ln>
                        </pic:spPr>
                      </pic:pic>
                    </a:graphicData>
                  </a:graphic>
                </wp:inline>
              </w:drawing>
            </w:r>
          </w:p>
        </w:tc>
      </w:tr>
      <w:tr w:rsidR="00821405" w14:paraId="6B3159F5" w14:textId="77777777" w:rsidTr="00DE3760">
        <w:tc>
          <w:tcPr>
            <w:tcW w:w="9060" w:type="dxa"/>
          </w:tcPr>
          <w:p w14:paraId="5434085A" w14:textId="77777777" w:rsidR="00821405" w:rsidRDefault="00821405" w:rsidP="00DE3760">
            <w:pPr>
              <w:pStyle w:val="BodyText"/>
            </w:pPr>
            <w:bookmarkStart w:id="58" w:name="_Toc99543002"/>
            <w:bookmarkStart w:id="59" w:name="_Toc103332728"/>
            <w:r w:rsidRPr="005821F8">
              <w:t xml:space="preserve">Figure </w:t>
            </w:r>
            <w:r w:rsidRPr="005821F8">
              <w:fldChar w:fldCharType="begin"/>
            </w:r>
            <w:r w:rsidRPr="005821F8">
              <w:instrText xml:space="preserve"> SEQ Figure \* ARABIC </w:instrText>
            </w:r>
            <w:r w:rsidRPr="005821F8">
              <w:fldChar w:fldCharType="separate"/>
            </w:r>
            <w:r>
              <w:rPr>
                <w:noProof/>
              </w:rPr>
              <w:t>8</w:t>
            </w:r>
            <w:r w:rsidRPr="005821F8">
              <w:fldChar w:fldCharType="end"/>
            </w:r>
            <w:r w:rsidRPr="005821F8">
              <w:t xml:space="preserve">. </w:t>
            </w:r>
            <w:r>
              <w:t>The figure shows the shimmer GSR recording device</w:t>
            </w:r>
            <w:bookmarkEnd w:id="58"/>
            <w:bookmarkEnd w:id="59"/>
          </w:p>
        </w:tc>
      </w:tr>
    </w:tbl>
    <w:p w14:paraId="5F54F01B" w14:textId="77777777" w:rsidR="00821405" w:rsidRPr="003C758E" w:rsidRDefault="00821405" w:rsidP="00821405">
      <w:pPr>
        <w:pStyle w:val="BodyText"/>
      </w:pPr>
    </w:p>
    <w:p w14:paraId="588C2F6C" w14:textId="77777777" w:rsidR="00821405" w:rsidRDefault="00821405" w:rsidP="00821405">
      <w:pPr>
        <w:pStyle w:val="BodyText"/>
      </w:pPr>
    </w:p>
    <w:p w14:paraId="1504267E" w14:textId="77777777" w:rsidR="00821405" w:rsidRDefault="00821405" w:rsidP="00821405">
      <w:pPr>
        <w:pStyle w:val="Heading1"/>
        <w:numPr>
          <w:ilvl w:val="0"/>
          <w:numId w:val="20"/>
        </w:numPr>
        <w:ind w:left="431" w:hanging="431"/>
        <w:jc w:val="both"/>
        <w:rPr>
          <w:rFonts w:asciiTheme="minorHAnsi" w:hAnsiTheme="minorHAnsi" w:cstheme="minorHAnsi"/>
        </w:rPr>
      </w:pPr>
      <w:bookmarkStart w:id="60" w:name="_Toc99543119"/>
      <w:bookmarkStart w:id="61" w:name="_Toc103332744"/>
      <w:r>
        <w:rPr>
          <w:rFonts w:asciiTheme="minorHAnsi" w:hAnsiTheme="minorHAnsi" w:cstheme="minorHAnsi"/>
        </w:rPr>
        <w:lastRenderedPageBreak/>
        <w:t>Conclusions</w:t>
      </w:r>
      <w:bookmarkEnd w:id="60"/>
      <w:bookmarkEnd w:id="61"/>
    </w:p>
    <w:p w14:paraId="5B456499" w14:textId="77777777" w:rsidR="00821405" w:rsidRDefault="00821405" w:rsidP="00821405">
      <w:pPr>
        <w:pStyle w:val="BodyText"/>
      </w:pPr>
      <w:r>
        <w:t>This deliverable has been reported the background on neurophysiological measures that will be employed during the execution of the validation experiments. With respect to other kind of measures (i.e., subjective ones), neurophysiological ones have the big advantages to be objective, and to not distract the operator from the main task execution. In addition, these measures can be assessed even online, paving the possibility to realize smart interfaces (i.e., passive Brain-Computer Interfaces) that can adapt their behaviours to the actual operator state. For example, in the futuristic ATM solutions the neuro technology could trigger a specific XAI solution, depending on the actual workload level of the operator (e.g., if overloaded minimum level of explainable, maximum level on the contrary).</w:t>
      </w:r>
    </w:p>
    <w:p w14:paraId="10311D99" w14:textId="47AEDB24" w:rsidR="00821405" w:rsidRDefault="00821405" w:rsidP="00821405">
      <w:pPr>
        <w:pStyle w:val="BodyText"/>
      </w:pPr>
      <w:r>
        <w:t xml:space="preserve">  It is expected to use a technology already validated in many other Sesar projects (i.e., NINA, MOTO, STRESS, MINIMA), to be sure to not impact negatively on the operators’ task execution. Of course, before starting with the experiments (planned to be on the 2</w:t>
      </w:r>
      <w:r w:rsidRPr="00784FE1">
        <w:rPr>
          <w:vertAlign w:val="superscript"/>
        </w:rPr>
        <w:t>nd</w:t>
      </w:r>
      <w:r>
        <w:t xml:space="preserve"> half of 2022), a pilot dry run will be performed </w:t>
      </w:r>
      <w:r w:rsidR="00804429">
        <w:t>to</w:t>
      </w:r>
      <w:r>
        <w:t xml:space="preserve"> be sure that all the technology is still suitable with all the experimental constraints and compatible with all the employed additional technology needed to realize the specific XAI solution, to properly fine tune neuro-technology and related processing algorithms accordingly.</w:t>
      </w:r>
    </w:p>
    <w:p w14:paraId="47492C28" w14:textId="77777777" w:rsidR="00821405" w:rsidRDefault="00821405" w:rsidP="00821405">
      <w:pPr>
        <w:pStyle w:val="Heading1"/>
        <w:numPr>
          <w:ilvl w:val="0"/>
          <w:numId w:val="20"/>
        </w:numPr>
        <w:ind w:left="431" w:hanging="431"/>
        <w:jc w:val="both"/>
        <w:rPr>
          <w:rFonts w:asciiTheme="minorHAnsi" w:hAnsiTheme="minorHAnsi" w:cstheme="minorHAnsi"/>
        </w:rPr>
      </w:pPr>
      <w:bookmarkStart w:id="62" w:name="_Toc99543120"/>
      <w:bookmarkStart w:id="63" w:name="_Toc103332745"/>
      <w:r>
        <w:rPr>
          <w:rFonts w:asciiTheme="minorHAnsi" w:hAnsiTheme="minorHAnsi" w:cstheme="minorHAnsi"/>
        </w:rPr>
        <w:lastRenderedPageBreak/>
        <w:t>References</w:t>
      </w:r>
      <w:bookmarkEnd w:id="62"/>
      <w:bookmarkEnd w:id="63"/>
    </w:p>
    <w:p w14:paraId="5D2FCF80" w14:textId="77777777" w:rsidR="00821405" w:rsidRPr="00DC728B" w:rsidRDefault="00821405" w:rsidP="00821405">
      <w:pPr>
        <w:widowControl w:val="0"/>
        <w:autoSpaceDE w:val="0"/>
        <w:autoSpaceDN w:val="0"/>
        <w:adjustRightInd w:val="0"/>
        <w:ind w:left="640" w:hanging="640"/>
        <w:rPr>
          <w:noProof/>
        </w:rPr>
      </w:pPr>
      <w:r>
        <w:fldChar w:fldCharType="begin" w:fldLock="1"/>
      </w:r>
      <w:r>
        <w:instrText xml:space="preserve">ADDIN Mendeley Bibliography CSL_BIBLIOGRAPHY </w:instrText>
      </w:r>
      <w:r>
        <w:fldChar w:fldCharType="separate"/>
      </w:r>
      <w:r w:rsidRPr="00DC728B">
        <w:rPr>
          <w:noProof/>
        </w:rPr>
        <w:t>[1]</w:t>
      </w:r>
      <w:r w:rsidRPr="00DC728B">
        <w:rPr>
          <w:noProof/>
        </w:rPr>
        <w:tab/>
        <w:t xml:space="preserve">F. D. Davis, “Perceived usefulness, perceived ease of use, and user acceptance of information technology,” </w:t>
      </w:r>
      <w:r w:rsidRPr="00DC728B">
        <w:rPr>
          <w:i/>
          <w:iCs/>
          <w:noProof/>
        </w:rPr>
        <w:t>MIS Q. Manag. Inf. Syst.</w:t>
      </w:r>
      <w:r w:rsidRPr="00DC728B">
        <w:rPr>
          <w:noProof/>
        </w:rPr>
        <w:t>, vol. 13, no. 3, pp. 319–339, 1989.</w:t>
      </w:r>
    </w:p>
    <w:p w14:paraId="0E383A98" w14:textId="77777777" w:rsidR="00821405" w:rsidRPr="00DC728B" w:rsidRDefault="00821405" w:rsidP="00821405">
      <w:pPr>
        <w:widowControl w:val="0"/>
        <w:autoSpaceDE w:val="0"/>
        <w:autoSpaceDN w:val="0"/>
        <w:adjustRightInd w:val="0"/>
        <w:ind w:left="640" w:hanging="640"/>
        <w:rPr>
          <w:noProof/>
        </w:rPr>
      </w:pPr>
      <w:r w:rsidRPr="00DC728B">
        <w:rPr>
          <w:noProof/>
        </w:rPr>
        <w:t>[2]</w:t>
      </w:r>
      <w:r w:rsidRPr="00DC728B">
        <w:rPr>
          <w:noProof/>
        </w:rPr>
        <w:tab/>
        <w:t>“Caton, Richard - The electric currents of the brain.” [Online]. Available: https://echo.mpiwg-berlin.mpg.de/ECHOdocuView?url=/permanent/vlp/lit27690/index.meta. [Accessed: 26-Jan-2022].</w:t>
      </w:r>
    </w:p>
    <w:p w14:paraId="1E2C8B93" w14:textId="77777777" w:rsidR="00821405" w:rsidRPr="00DC728B" w:rsidRDefault="00821405" w:rsidP="00821405">
      <w:pPr>
        <w:widowControl w:val="0"/>
        <w:autoSpaceDE w:val="0"/>
        <w:autoSpaceDN w:val="0"/>
        <w:adjustRightInd w:val="0"/>
        <w:ind w:left="640" w:hanging="640"/>
        <w:rPr>
          <w:noProof/>
        </w:rPr>
      </w:pPr>
      <w:r w:rsidRPr="00DC728B">
        <w:rPr>
          <w:noProof/>
        </w:rPr>
        <w:t>[3]</w:t>
      </w:r>
      <w:r w:rsidRPr="00DC728B">
        <w:rPr>
          <w:noProof/>
        </w:rPr>
        <w:tab/>
        <w:t xml:space="preserve">L. F. Haas, “Hans Berger (1873–1941), Richard Caton (1842–1926), and electroencephalography,” </w:t>
      </w:r>
      <w:r w:rsidRPr="00DC728B">
        <w:rPr>
          <w:i/>
          <w:iCs/>
          <w:noProof/>
        </w:rPr>
        <w:t>J. Neurol. Neurosurg. Psychiatry</w:t>
      </w:r>
      <w:r w:rsidRPr="00DC728B">
        <w:rPr>
          <w:noProof/>
        </w:rPr>
        <w:t>, vol. 74, no. 1, pp. 9–9, Jan. 2003.</w:t>
      </w:r>
    </w:p>
    <w:p w14:paraId="2DF33C47" w14:textId="77777777" w:rsidR="00821405" w:rsidRPr="00DC728B" w:rsidRDefault="00821405" w:rsidP="00821405">
      <w:pPr>
        <w:widowControl w:val="0"/>
        <w:autoSpaceDE w:val="0"/>
        <w:autoSpaceDN w:val="0"/>
        <w:adjustRightInd w:val="0"/>
        <w:ind w:left="640" w:hanging="640"/>
        <w:rPr>
          <w:noProof/>
        </w:rPr>
      </w:pPr>
      <w:r w:rsidRPr="00DC728B">
        <w:rPr>
          <w:noProof/>
        </w:rPr>
        <w:t>[4]</w:t>
      </w:r>
      <w:r w:rsidRPr="00DC728B">
        <w:rPr>
          <w:noProof/>
        </w:rPr>
        <w:tab/>
        <w:t>M. Teplan, “Fundamentals of EEG measurement,” 2002. [Online]. Available: http://www.scribd.com/doc/47884335/FUNDAMENTALS-OF-EEG-MEASUREMENT. [Accessed: 08-Jan-2014].</w:t>
      </w:r>
    </w:p>
    <w:p w14:paraId="675C3A45" w14:textId="77777777" w:rsidR="00821405" w:rsidRPr="00DC728B" w:rsidRDefault="00821405" w:rsidP="00821405">
      <w:pPr>
        <w:widowControl w:val="0"/>
        <w:autoSpaceDE w:val="0"/>
        <w:autoSpaceDN w:val="0"/>
        <w:adjustRightInd w:val="0"/>
        <w:ind w:left="640" w:hanging="640"/>
        <w:rPr>
          <w:noProof/>
        </w:rPr>
      </w:pPr>
      <w:r w:rsidRPr="00DC728B">
        <w:rPr>
          <w:noProof/>
        </w:rPr>
        <w:t>[5]</w:t>
      </w:r>
      <w:r w:rsidRPr="00DC728B">
        <w:rPr>
          <w:noProof/>
        </w:rPr>
        <w:tab/>
        <w:t xml:space="preserve">H. Jasper, “The ten twenty electrode system of the international federation,” </w:t>
      </w:r>
      <w:r w:rsidRPr="00DC728B">
        <w:rPr>
          <w:i/>
          <w:iCs/>
          <w:noProof/>
        </w:rPr>
        <w:t>Electroencephalogr. Clin. Neurophysiol.</w:t>
      </w:r>
      <w:r w:rsidRPr="00DC728B">
        <w:rPr>
          <w:noProof/>
        </w:rPr>
        <w:t>, vol. 10, pp. 371–375, 1958.</w:t>
      </w:r>
    </w:p>
    <w:p w14:paraId="58345809" w14:textId="77777777" w:rsidR="00821405" w:rsidRPr="00DC728B" w:rsidRDefault="00821405" w:rsidP="00821405">
      <w:pPr>
        <w:widowControl w:val="0"/>
        <w:autoSpaceDE w:val="0"/>
        <w:autoSpaceDN w:val="0"/>
        <w:adjustRightInd w:val="0"/>
        <w:ind w:left="640" w:hanging="640"/>
        <w:rPr>
          <w:noProof/>
        </w:rPr>
      </w:pPr>
      <w:r w:rsidRPr="00DC728B">
        <w:rPr>
          <w:noProof/>
        </w:rPr>
        <w:t>[6]</w:t>
      </w:r>
      <w:r w:rsidRPr="00DC728B">
        <w:rPr>
          <w:noProof/>
        </w:rPr>
        <w:tab/>
        <w:t xml:space="preserve">A. Kales, </w:t>
      </w:r>
      <w:r w:rsidRPr="00DC728B">
        <w:rPr>
          <w:i/>
          <w:iCs/>
          <w:noProof/>
        </w:rPr>
        <w:t>A manual of standardized terminology, techniques and scoring system for sleep stages of human subjects</w:t>
      </w:r>
      <w:r w:rsidRPr="00DC728B">
        <w:rPr>
          <w:noProof/>
        </w:rPr>
        <w:t>. Washington  DC: United States Government Printing Office, 1968.</w:t>
      </w:r>
    </w:p>
    <w:p w14:paraId="6B222B7B" w14:textId="77777777" w:rsidR="00821405" w:rsidRPr="00DC728B" w:rsidRDefault="00821405" w:rsidP="00821405">
      <w:pPr>
        <w:widowControl w:val="0"/>
        <w:autoSpaceDE w:val="0"/>
        <w:autoSpaceDN w:val="0"/>
        <w:adjustRightInd w:val="0"/>
        <w:ind w:left="640" w:hanging="640"/>
        <w:rPr>
          <w:noProof/>
        </w:rPr>
      </w:pPr>
      <w:r w:rsidRPr="00DC728B">
        <w:rPr>
          <w:noProof/>
        </w:rPr>
        <w:t>[7]</w:t>
      </w:r>
      <w:r w:rsidRPr="00DC728B">
        <w:rPr>
          <w:noProof/>
        </w:rPr>
        <w:tab/>
        <w:t xml:space="preserve">G. Buzsáki, “Theta oscillations in the hippocampus,” </w:t>
      </w:r>
      <w:r w:rsidRPr="00DC728B">
        <w:rPr>
          <w:i/>
          <w:iCs/>
          <w:noProof/>
        </w:rPr>
        <w:t>Neuron</w:t>
      </w:r>
      <w:r w:rsidRPr="00DC728B">
        <w:rPr>
          <w:noProof/>
        </w:rPr>
        <w:t>, vol. 33, no. 3, pp. 325–340, Jan. 2002.</w:t>
      </w:r>
    </w:p>
    <w:p w14:paraId="18EB0233" w14:textId="77777777" w:rsidR="00821405" w:rsidRPr="00DC728B" w:rsidRDefault="00821405" w:rsidP="00821405">
      <w:pPr>
        <w:widowControl w:val="0"/>
        <w:autoSpaceDE w:val="0"/>
        <w:autoSpaceDN w:val="0"/>
        <w:adjustRightInd w:val="0"/>
        <w:ind w:left="640" w:hanging="640"/>
        <w:rPr>
          <w:noProof/>
        </w:rPr>
      </w:pPr>
      <w:r w:rsidRPr="00DC728B">
        <w:rPr>
          <w:noProof/>
        </w:rPr>
        <w:t>[8]</w:t>
      </w:r>
      <w:r w:rsidRPr="00DC728B">
        <w:rPr>
          <w:noProof/>
        </w:rPr>
        <w:tab/>
        <w:t xml:space="preserve">J. L. Cantero, M. Atienza, R. Stickgold, M. J. Kahana, J. R. Madsen, and B. Kocsis, “Sleep-dependent theta oscillations in the human hippocampus and neocortex,” </w:t>
      </w:r>
      <w:r w:rsidRPr="00DC728B">
        <w:rPr>
          <w:i/>
          <w:iCs/>
          <w:noProof/>
        </w:rPr>
        <w:t>J. Neurosci. Off. J. Soc. Neurosci.</w:t>
      </w:r>
      <w:r w:rsidRPr="00DC728B">
        <w:rPr>
          <w:noProof/>
        </w:rPr>
        <w:t>, vol. 23, no. 34, pp. 10897–10903, Nov. 2003.</w:t>
      </w:r>
    </w:p>
    <w:p w14:paraId="0AC02364" w14:textId="77777777" w:rsidR="00821405" w:rsidRPr="00DC728B" w:rsidRDefault="00821405" w:rsidP="00821405">
      <w:pPr>
        <w:widowControl w:val="0"/>
        <w:autoSpaceDE w:val="0"/>
        <w:autoSpaceDN w:val="0"/>
        <w:adjustRightInd w:val="0"/>
        <w:ind w:left="640" w:hanging="640"/>
        <w:rPr>
          <w:noProof/>
        </w:rPr>
      </w:pPr>
      <w:r w:rsidRPr="00DC728B">
        <w:rPr>
          <w:noProof/>
        </w:rPr>
        <w:t>[9]</w:t>
      </w:r>
      <w:r w:rsidRPr="00DC728B">
        <w:rPr>
          <w:noProof/>
        </w:rPr>
        <w:tab/>
        <w:t xml:space="preserve">Y. Kubota </w:t>
      </w:r>
      <w:r w:rsidRPr="00DC728B">
        <w:rPr>
          <w:i/>
          <w:iCs/>
          <w:noProof/>
        </w:rPr>
        <w:t>et al.</w:t>
      </w:r>
      <w:r w:rsidRPr="00DC728B">
        <w:rPr>
          <w:noProof/>
        </w:rPr>
        <w:t xml:space="preserve">, “Frontal midline theta rhythm is correlated with cardiac autonomic activities during the performance of an attention demanding meditation procedure,” </w:t>
      </w:r>
      <w:r w:rsidRPr="00DC728B">
        <w:rPr>
          <w:i/>
          <w:iCs/>
          <w:noProof/>
        </w:rPr>
        <w:t>Brain Res. Cogn. Brain Res.</w:t>
      </w:r>
      <w:r w:rsidRPr="00DC728B">
        <w:rPr>
          <w:noProof/>
        </w:rPr>
        <w:t>, vol. 11, no. 2, pp. 281–287, Apr. 2001.</w:t>
      </w:r>
    </w:p>
    <w:p w14:paraId="081A6409" w14:textId="77777777" w:rsidR="00821405" w:rsidRPr="00DC728B" w:rsidRDefault="00821405" w:rsidP="00821405">
      <w:pPr>
        <w:widowControl w:val="0"/>
        <w:autoSpaceDE w:val="0"/>
        <w:autoSpaceDN w:val="0"/>
        <w:adjustRightInd w:val="0"/>
        <w:ind w:left="640" w:hanging="640"/>
        <w:rPr>
          <w:noProof/>
        </w:rPr>
      </w:pPr>
      <w:r w:rsidRPr="00DC728B">
        <w:rPr>
          <w:noProof/>
        </w:rPr>
        <w:t>[10]</w:t>
      </w:r>
      <w:r w:rsidRPr="00DC728B">
        <w:rPr>
          <w:noProof/>
        </w:rPr>
        <w:tab/>
        <w:t xml:space="preserve">K. Hagemann, “The alpha band as an electrophysiological indicator for internalized attention and high mental workload in real traffic driving.,” 2008. </w:t>
      </w:r>
      <w:r w:rsidRPr="009E0C1A">
        <w:rPr>
          <w:noProof/>
          <w:lang w:val="fr-FR"/>
        </w:rPr>
        <w:t xml:space="preserve">[Online]. Available: http://docserv.uni-duesseldorf.de/servlets/DocumentServlet?id=8318. </w:t>
      </w:r>
      <w:r w:rsidRPr="00DC728B">
        <w:rPr>
          <w:noProof/>
        </w:rPr>
        <w:t>[Accessed: 08-Jan-2014].</w:t>
      </w:r>
    </w:p>
    <w:p w14:paraId="777C634A" w14:textId="77777777" w:rsidR="00821405" w:rsidRPr="00DC728B" w:rsidRDefault="00821405" w:rsidP="00821405">
      <w:pPr>
        <w:widowControl w:val="0"/>
        <w:autoSpaceDE w:val="0"/>
        <w:autoSpaceDN w:val="0"/>
        <w:adjustRightInd w:val="0"/>
        <w:ind w:left="640" w:hanging="640"/>
        <w:rPr>
          <w:noProof/>
        </w:rPr>
      </w:pPr>
      <w:r w:rsidRPr="00DC728B">
        <w:rPr>
          <w:noProof/>
        </w:rPr>
        <w:t>[11]</w:t>
      </w:r>
      <w:r w:rsidRPr="00DC728B">
        <w:rPr>
          <w:noProof/>
        </w:rPr>
        <w:tab/>
        <w:t xml:space="preserve">G. Sammer </w:t>
      </w:r>
      <w:r w:rsidRPr="00DC728B">
        <w:rPr>
          <w:i/>
          <w:iCs/>
          <w:noProof/>
        </w:rPr>
        <w:t>et al.</w:t>
      </w:r>
      <w:r w:rsidRPr="00DC728B">
        <w:rPr>
          <w:noProof/>
        </w:rPr>
        <w:t xml:space="preserve">, “Relationship between regional hemodynamic activity and simultaneously recorded EEG-theta associated with mental arithmetic-induced workload,” </w:t>
      </w:r>
      <w:r w:rsidRPr="00DC728B">
        <w:rPr>
          <w:i/>
          <w:iCs/>
          <w:noProof/>
        </w:rPr>
        <w:t>Hum. Brain Mapp.</w:t>
      </w:r>
      <w:r w:rsidRPr="00DC728B">
        <w:rPr>
          <w:noProof/>
        </w:rPr>
        <w:t>, vol. 28, no. 8, pp. 793–803, Aug. 2007.</w:t>
      </w:r>
    </w:p>
    <w:p w14:paraId="79FA0CA9" w14:textId="77777777" w:rsidR="00821405" w:rsidRPr="00DC728B" w:rsidRDefault="00821405" w:rsidP="00821405">
      <w:pPr>
        <w:widowControl w:val="0"/>
        <w:autoSpaceDE w:val="0"/>
        <w:autoSpaceDN w:val="0"/>
        <w:adjustRightInd w:val="0"/>
        <w:ind w:left="640" w:hanging="640"/>
        <w:rPr>
          <w:noProof/>
        </w:rPr>
      </w:pPr>
      <w:r w:rsidRPr="00DC728B">
        <w:rPr>
          <w:noProof/>
        </w:rPr>
        <w:t>[12]</w:t>
      </w:r>
      <w:r w:rsidRPr="00DC728B">
        <w:rPr>
          <w:noProof/>
        </w:rPr>
        <w:tab/>
        <w:t xml:space="preserve">L. M. Ward, “Synchronous neural oscillations and cognitive processes,” </w:t>
      </w:r>
      <w:r w:rsidRPr="00DC728B">
        <w:rPr>
          <w:i/>
          <w:iCs/>
          <w:noProof/>
        </w:rPr>
        <w:t>Trends Cogn. Sci.</w:t>
      </w:r>
      <w:r w:rsidRPr="00DC728B">
        <w:rPr>
          <w:noProof/>
        </w:rPr>
        <w:t>, vol. 7, no. 12, pp. 553–559, 2003.</w:t>
      </w:r>
    </w:p>
    <w:p w14:paraId="08C49620" w14:textId="77777777" w:rsidR="00821405" w:rsidRPr="00DC728B" w:rsidRDefault="00821405" w:rsidP="00821405">
      <w:pPr>
        <w:widowControl w:val="0"/>
        <w:autoSpaceDE w:val="0"/>
        <w:autoSpaceDN w:val="0"/>
        <w:adjustRightInd w:val="0"/>
        <w:ind w:left="640" w:hanging="640"/>
        <w:rPr>
          <w:noProof/>
        </w:rPr>
      </w:pPr>
      <w:r w:rsidRPr="00DC728B">
        <w:rPr>
          <w:noProof/>
        </w:rPr>
        <w:t>[13]</w:t>
      </w:r>
      <w:r w:rsidRPr="00DC728B">
        <w:rPr>
          <w:noProof/>
        </w:rPr>
        <w:tab/>
        <w:t xml:space="preserve">M. E. Smith, A. Gevins, H. Brown, A. Karnik, and R. Du, “Monitoring task loading with multivariate EEG measures during complex forms of human-computer interaction,” </w:t>
      </w:r>
      <w:r w:rsidRPr="00DC728B">
        <w:rPr>
          <w:i/>
          <w:iCs/>
          <w:noProof/>
        </w:rPr>
        <w:t>Hum. Factors</w:t>
      </w:r>
      <w:r w:rsidRPr="00DC728B">
        <w:rPr>
          <w:noProof/>
        </w:rPr>
        <w:t>, vol. 43, no. 3, pp. 366–380, 2001.</w:t>
      </w:r>
    </w:p>
    <w:p w14:paraId="78BFFE4C" w14:textId="77777777" w:rsidR="00821405" w:rsidRPr="00DC728B" w:rsidRDefault="00821405" w:rsidP="00821405">
      <w:pPr>
        <w:widowControl w:val="0"/>
        <w:autoSpaceDE w:val="0"/>
        <w:autoSpaceDN w:val="0"/>
        <w:adjustRightInd w:val="0"/>
        <w:ind w:left="640" w:hanging="640"/>
        <w:rPr>
          <w:noProof/>
        </w:rPr>
      </w:pPr>
      <w:r w:rsidRPr="00DC728B">
        <w:rPr>
          <w:noProof/>
        </w:rPr>
        <w:t>[14]</w:t>
      </w:r>
      <w:r w:rsidRPr="00DC728B">
        <w:rPr>
          <w:noProof/>
        </w:rPr>
        <w:tab/>
        <w:t xml:space="preserve">A. Gundel and G. F. Wilson, “Topographical changes in the ongoing EEG related to the difficulty of mental tasks,” </w:t>
      </w:r>
      <w:r w:rsidRPr="00DC728B">
        <w:rPr>
          <w:i/>
          <w:iCs/>
          <w:noProof/>
        </w:rPr>
        <w:t>Brain Topogr.</w:t>
      </w:r>
      <w:r w:rsidRPr="00DC728B">
        <w:rPr>
          <w:noProof/>
        </w:rPr>
        <w:t>, vol. 5, no. 1, pp. 17–25, 1992.</w:t>
      </w:r>
    </w:p>
    <w:p w14:paraId="788B9E0B" w14:textId="77777777" w:rsidR="00821405" w:rsidRPr="00DC728B" w:rsidRDefault="00821405" w:rsidP="00821405">
      <w:pPr>
        <w:widowControl w:val="0"/>
        <w:autoSpaceDE w:val="0"/>
        <w:autoSpaceDN w:val="0"/>
        <w:adjustRightInd w:val="0"/>
        <w:ind w:left="640" w:hanging="640"/>
        <w:rPr>
          <w:noProof/>
        </w:rPr>
      </w:pPr>
      <w:r w:rsidRPr="00DC728B">
        <w:rPr>
          <w:noProof/>
        </w:rPr>
        <w:lastRenderedPageBreak/>
        <w:t>[15]</w:t>
      </w:r>
      <w:r w:rsidRPr="00DC728B">
        <w:rPr>
          <w:noProof/>
        </w:rPr>
        <w:tab/>
        <w:t xml:space="preserve">A. Gevins </w:t>
      </w:r>
      <w:r w:rsidRPr="00DC728B">
        <w:rPr>
          <w:i/>
          <w:iCs/>
          <w:noProof/>
        </w:rPr>
        <w:t>et al.</w:t>
      </w:r>
      <w:r w:rsidRPr="00DC728B">
        <w:rPr>
          <w:noProof/>
        </w:rPr>
        <w:t xml:space="preserve">, “Monitoring working memory load during computer-based tasks with EEG pattern recognition methods,” </w:t>
      </w:r>
      <w:r w:rsidRPr="00DC728B">
        <w:rPr>
          <w:i/>
          <w:iCs/>
          <w:noProof/>
        </w:rPr>
        <w:t>Hum. Factors</w:t>
      </w:r>
      <w:r w:rsidRPr="00DC728B">
        <w:rPr>
          <w:noProof/>
        </w:rPr>
        <w:t>, vol. 40, no. 1, pp. 79–91, Mar. 1998.</w:t>
      </w:r>
    </w:p>
    <w:p w14:paraId="1F3B16B1" w14:textId="77777777" w:rsidR="00821405" w:rsidRPr="00DC728B" w:rsidRDefault="00821405" w:rsidP="00821405">
      <w:pPr>
        <w:widowControl w:val="0"/>
        <w:autoSpaceDE w:val="0"/>
        <w:autoSpaceDN w:val="0"/>
        <w:adjustRightInd w:val="0"/>
        <w:ind w:left="640" w:hanging="640"/>
        <w:rPr>
          <w:noProof/>
        </w:rPr>
      </w:pPr>
      <w:r w:rsidRPr="00DC728B">
        <w:rPr>
          <w:noProof/>
        </w:rPr>
        <w:t>[16]</w:t>
      </w:r>
      <w:r w:rsidRPr="00DC728B">
        <w:rPr>
          <w:noProof/>
        </w:rPr>
        <w:tab/>
        <w:t xml:space="preserve">W. Klimesch, P. Sauseng, and S. Hanslmayr, “EEG alpha oscillations: the inhibition-timing hypothesis,” </w:t>
      </w:r>
      <w:r w:rsidRPr="00DC728B">
        <w:rPr>
          <w:i/>
          <w:iCs/>
          <w:noProof/>
        </w:rPr>
        <w:t>Brain Res. Rev.</w:t>
      </w:r>
      <w:r w:rsidRPr="00DC728B">
        <w:rPr>
          <w:noProof/>
        </w:rPr>
        <w:t>, vol. 53, no. 1, pp. 63–88, Jan. 2007.</w:t>
      </w:r>
    </w:p>
    <w:p w14:paraId="38E2402B" w14:textId="77777777" w:rsidR="00821405" w:rsidRPr="00DC728B" w:rsidRDefault="00821405" w:rsidP="00821405">
      <w:pPr>
        <w:widowControl w:val="0"/>
        <w:autoSpaceDE w:val="0"/>
        <w:autoSpaceDN w:val="0"/>
        <w:adjustRightInd w:val="0"/>
        <w:ind w:left="640" w:hanging="640"/>
        <w:rPr>
          <w:noProof/>
        </w:rPr>
      </w:pPr>
      <w:r w:rsidRPr="00DC728B">
        <w:rPr>
          <w:noProof/>
        </w:rPr>
        <w:t>[17]</w:t>
      </w:r>
      <w:r w:rsidRPr="00DC728B">
        <w:rPr>
          <w:noProof/>
        </w:rPr>
        <w:tab/>
        <w:t>C. Dooley, “The Impact of Meditative Practices on Physiology and Neurology: A Review of the Literature,” 2009, pp. 35–59.</w:t>
      </w:r>
    </w:p>
    <w:p w14:paraId="5AC4907B" w14:textId="77777777" w:rsidR="00821405" w:rsidRPr="009E0C1A" w:rsidRDefault="00821405" w:rsidP="00821405">
      <w:pPr>
        <w:widowControl w:val="0"/>
        <w:autoSpaceDE w:val="0"/>
        <w:autoSpaceDN w:val="0"/>
        <w:adjustRightInd w:val="0"/>
        <w:ind w:left="640" w:hanging="640"/>
        <w:rPr>
          <w:noProof/>
          <w:lang w:val="de-DE"/>
        </w:rPr>
      </w:pPr>
      <w:r w:rsidRPr="009E0C1A">
        <w:rPr>
          <w:noProof/>
          <w:lang w:val="de-DE"/>
        </w:rPr>
        <w:t>[18]</w:t>
      </w:r>
      <w:r w:rsidRPr="009E0C1A">
        <w:rPr>
          <w:noProof/>
          <w:lang w:val="de-DE"/>
        </w:rPr>
        <w:tab/>
        <w:t>N. Birbaumer and R. . Schmidt, “Biologische Psychologie(3rd ed.),” 1996.</w:t>
      </w:r>
    </w:p>
    <w:p w14:paraId="41E796E0" w14:textId="77777777" w:rsidR="00821405" w:rsidRPr="009E0C1A" w:rsidRDefault="00821405" w:rsidP="00821405">
      <w:pPr>
        <w:widowControl w:val="0"/>
        <w:autoSpaceDE w:val="0"/>
        <w:autoSpaceDN w:val="0"/>
        <w:adjustRightInd w:val="0"/>
        <w:ind w:left="640" w:hanging="640"/>
        <w:rPr>
          <w:noProof/>
          <w:lang w:val="de-DE"/>
        </w:rPr>
      </w:pPr>
      <w:r w:rsidRPr="009E0C1A">
        <w:rPr>
          <w:noProof/>
          <w:lang w:val="de-DE"/>
        </w:rPr>
        <w:t>[19]</w:t>
      </w:r>
      <w:r w:rsidRPr="009E0C1A">
        <w:rPr>
          <w:noProof/>
          <w:lang w:val="de-DE"/>
        </w:rPr>
        <w:tab/>
        <w:t>K. Hagemann aus Ebersberg, G. mit der Genehmigung der, A. Buchner Koreferent, and P. Michael Schrauf, “The alpha band as an electrophysiological indicator to detect divided attention and high mental workload in real traffic drivi,” 2008.</w:t>
      </w:r>
    </w:p>
    <w:p w14:paraId="6C93E132" w14:textId="77777777" w:rsidR="00821405" w:rsidRPr="00DC728B" w:rsidRDefault="00821405" w:rsidP="00821405">
      <w:pPr>
        <w:widowControl w:val="0"/>
        <w:autoSpaceDE w:val="0"/>
        <w:autoSpaceDN w:val="0"/>
        <w:adjustRightInd w:val="0"/>
        <w:ind w:left="640" w:hanging="640"/>
        <w:rPr>
          <w:noProof/>
        </w:rPr>
      </w:pPr>
      <w:r w:rsidRPr="00DC728B">
        <w:rPr>
          <w:noProof/>
        </w:rPr>
        <w:t>[20]</w:t>
      </w:r>
      <w:r w:rsidRPr="00DC728B">
        <w:rPr>
          <w:noProof/>
        </w:rPr>
        <w:tab/>
        <w:t xml:space="preserve">O. Jensen, J. Kaiser, and J.-P. Lachaux, “Human gamma-frequency oscillations associated with attention and memory,” </w:t>
      </w:r>
      <w:r w:rsidRPr="00DC728B">
        <w:rPr>
          <w:i/>
          <w:iCs/>
          <w:noProof/>
        </w:rPr>
        <w:t>Trends Neurosci.</w:t>
      </w:r>
      <w:r w:rsidRPr="00DC728B">
        <w:rPr>
          <w:noProof/>
        </w:rPr>
        <w:t>, vol. 30, no. 7, pp. 317–324, Jul. 2007.</w:t>
      </w:r>
    </w:p>
    <w:p w14:paraId="0033227F" w14:textId="77777777" w:rsidR="00821405" w:rsidRPr="00DC728B" w:rsidRDefault="00821405" w:rsidP="00821405">
      <w:pPr>
        <w:widowControl w:val="0"/>
        <w:autoSpaceDE w:val="0"/>
        <w:autoSpaceDN w:val="0"/>
        <w:adjustRightInd w:val="0"/>
        <w:ind w:left="640" w:hanging="640"/>
        <w:rPr>
          <w:noProof/>
        </w:rPr>
      </w:pPr>
      <w:r w:rsidRPr="00DC728B">
        <w:rPr>
          <w:noProof/>
        </w:rPr>
        <w:t>[21]</w:t>
      </w:r>
      <w:r w:rsidRPr="00DC728B">
        <w:rPr>
          <w:noProof/>
        </w:rPr>
        <w:tab/>
        <w:t xml:space="preserve">F. Aloise, P. Aricò, F. Schettini, S. Salinari, D. Mattia, and F. Cincotti, “Asynchronous gaze-independent event-related potential-based brain-computer interface,” </w:t>
      </w:r>
      <w:r w:rsidRPr="00DC728B">
        <w:rPr>
          <w:i/>
          <w:iCs/>
          <w:noProof/>
        </w:rPr>
        <w:t>Artif. Intell. Med.</w:t>
      </w:r>
      <w:r w:rsidRPr="00DC728B">
        <w:rPr>
          <w:noProof/>
        </w:rPr>
        <w:t>, vol. 59, no. 2, pp. 61–69, Oct. 2013.</w:t>
      </w:r>
    </w:p>
    <w:p w14:paraId="44BF01D5" w14:textId="77777777" w:rsidR="00821405" w:rsidRPr="00DC728B" w:rsidRDefault="00821405" w:rsidP="00821405">
      <w:pPr>
        <w:widowControl w:val="0"/>
        <w:autoSpaceDE w:val="0"/>
        <w:autoSpaceDN w:val="0"/>
        <w:adjustRightInd w:val="0"/>
        <w:ind w:left="640" w:hanging="640"/>
        <w:rPr>
          <w:noProof/>
        </w:rPr>
      </w:pPr>
      <w:r w:rsidRPr="00DC728B">
        <w:rPr>
          <w:noProof/>
        </w:rPr>
        <w:t>[22]</w:t>
      </w:r>
      <w:r w:rsidRPr="00DC728B">
        <w:rPr>
          <w:noProof/>
        </w:rPr>
        <w:tab/>
        <w:t xml:space="preserve">M. Benedek and C. Kaernbach, “Decomposition of skin conductance data by means of nonnegative deconvolution,” </w:t>
      </w:r>
      <w:r w:rsidRPr="00DC728B">
        <w:rPr>
          <w:i/>
          <w:iCs/>
          <w:noProof/>
        </w:rPr>
        <w:t>Psychophysiology</w:t>
      </w:r>
      <w:r w:rsidRPr="00DC728B">
        <w:rPr>
          <w:noProof/>
        </w:rPr>
        <w:t>, vol. 47, no. 4, pp. 647–658, 2010.</w:t>
      </w:r>
    </w:p>
    <w:p w14:paraId="6EB61BD9" w14:textId="77777777" w:rsidR="00821405" w:rsidRPr="00DC728B" w:rsidRDefault="00821405" w:rsidP="00821405">
      <w:pPr>
        <w:widowControl w:val="0"/>
        <w:autoSpaceDE w:val="0"/>
        <w:autoSpaceDN w:val="0"/>
        <w:adjustRightInd w:val="0"/>
        <w:ind w:left="640" w:hanging="640"/>
        <w:rPr>
          <w:noProof/>
        </w:rPr>
      </w:pPr>
      <w:r w:rsidRPr="00DC728B">
        <w:rPr>
          <w:noProof/>
        </w:rPr>
        <w:t>[23]</w:t>
      </w:r>
      <w:r w:rsidRPr="00DC728B">
        <w:rPr>
          <w:noProof/>
        </w:rPr>
        <w:tab/>
        <w:t xml:space="preserve">W. Boucsein, </w:t>
      </w:r>
      <w:r w:rsidRPr="00DC728B">
        <w:rPr>
          <w:i/>
          <w:iCs/>
          <w:noProof/>
        </w:rPr>
        <w:t>Electrodermal activity</w:t>
      </w:r>
      <w:r w:rsidRPr="00DC728B">
        <w:rPr>
          <w:noProof/>
        </w:rPr>
        <w:t>, 2nd ed. New York: Springer, 2012.</w:t>
      </w:r>
    </w:p>
    <w:p w14:paraId="5B574965" w14:textId="77777777" w:rsidR="00821405" w:rsidRPr="00DC728B" w:rsidRDefault="00821405" w:rsidP="00821405">
      <w:pPr>
        <w:widowControl w:val="0"/>
        <w:autoSpaceDE w:val="0"/>
        <w:autoSpaceDN w:val="0"/>
        <w:adjustRightInd w:val="0"/>
        <w:ind w:left="640" w:hanging="640"/>
        <w:rPr>
          <w:noProof/>
        </w:rPr>
      </w:pPr>
      <w:r w:rsidRPr="00DC728B">
        <w:rPr>
          <w:noProof/>
        </w:rPr>
        <w:t>[24]</w:t>
      </w:r>
      <w:r w:rsidRPr="00DC728B">
        <w:rPr>
          <w:noProof/>
        </w:rPr>
        <w:tab/>
        <w:t xml:space="preserve">S. C. Jacobs </w:t>
      </w:r>
      <w:r w:rsidRPr="00DC728B">
        <w:rPr>
          <w:i/>
          <w:iCs/>
          <w:noProof/>
        </w:rPr>
        <w:t>et al.</w:t>
      </w:r>
      <w:r w:rsidRPr="00DC728B">
        <w:rPr>
          <w:noProof/>
        </w:rPr>
        <w:t xml:space="preserve">, “Use of skin conductance changes during mental stress testing as an index of autonomic arousal in cardiovascular research,” </w:t>
      </w:r>
      <w:r w:rsidRPr="00DC728B">
        <w:rPr>
          <w:i/>
          <w:iCs/>
          <w:noProof/>
        </w:rPr>
        <w:t>Am. Heart J.</w:t>
      </w:r>
      <w:r w:rsidRPr="00DC728B">
        <w:rPr>
          <w:noProof/>
        </w:rPr>
        <w:t>, vol. 128, no. 6, pp. 1170–1177, 1994.</w:t>
      </w:r>
    </w:p>
    <w:p w14:paraId="3EA78162" w14:textId="77777777" w:rsidR="00821405" w:rsidRPr="00DC728B" w:rsidRDefault="00821405" w:rsidP="00821405">
      <w:pPr>
        <w:widowControl w:val="0"/>
        <w:autoSpaceDE w:val="0"/>
        <w:autoSpaceDN w:val="0"/>
        <w:adjustRightInd w:val="0"/>
        <w:ind w:left="640" w:hanging="640"/>
        <w:rPr>
          <w:noProof/>
        </w:rPr>
      </w:pPr>
      <w:r w:rsidRPr="00DC728B">
        <w:rPr>
          <w:noProof/>
        </w:rPr>
        <w:t>[25]</w:t>
      </w:r>
      <w:r w:rsidRPr="00DC728B">
        <w:rPr>
          <w:noProof/>
        </w:rPr>
        <w:tab/>
        <w:t>G. Riva, B. K. Wiederhold, and E. Molinari, “Virtual environments in clinical psychology and neuroscience: Methods and techniques in advanced patient-therapist interaction,” 1998.</w:t>
      </w:r>
    </w:p>
    <w:p w14:paraId="3B1B5056" w14:textId="77777777" w:rsidR="00821405" w:rsidRPr="00DC728B" w:rsidRDefault="00821405" w:rsidP="00821405">
      <w:pPr>
        <w:widowControl w:val="0"/>
        <w:autoSpaceDE w:val="0"/>
        <w:autoSpaceDN w:val="0"/>
        <w:adjustRightInd w:val="0"/>
        <w:ind w:left="640" w:hanging="640"/>
        <w:rPr>
          <w:noProof/>
        </w:rPr>
      </w:pPr>
      <w:r w:rsidRPr="00DC728B">
        <w:rPr>
          <w:noProof/>
        </w:rPr>
        <w:t>[26]</w:t>
      </w:r>
      <w:r w:rsidRPr="00DC728B">
        <w:rPr>
          <w:noProof/>
        </w:rPr>
        <w:tab/>
        <w:t xml:space="preserve">B. K. Wiederhold, R. Davis, and M. D. Wiederhold, “The effects of immersiveness on physiology,” </w:t>
      </w:r>
      <w:r w:rsidRPr="00DC728B">
        <w:rPr>
          <w:i/>
          <w:iCs/>
          <w:noProof/>
        </w:rPr>
        <w:t>Stud. Health Technol. Inform.</w:t>
      </w:r>
      <w:r w:rsidRPr="00DC728B">
        <w:rPr>
          <w:noProof/>
        </w:rPr>
        <w:t>, pp. 52–62, 1998.</w:t>
      </w:r>
    </w:p>
    <w:p w14:paraId="21E5D4E0" w14:textId="77777777" w:rsidR="00821405" w:rsidRPr="00DC728B" w:rsidRDefault="00821405" w:rsidP="00821405">
      <w:pPr>
        <w:widowControl w:val="0"/>
        <w:autoSpaceDE w:val="0"/>
        <w:autoSpaceDN w:val="0"/>
        <w:adjustRightInd w:val="0"/>
        <w:ind w:left="640" w:hanging="640"/>
        <w:rPr>
          <w:noProof/>
        </w:rPr>
      </w:pPr>
      <w:r w:rsidRPr="00DC728B">
        <w:rPr>
          <w:noProof/>
        </w:rPr>
        <w:t>[27]</w:t>
      </w:r>
      <w:r w:rsidRPr="00DC728B">
        <w:rPr>
          <w:noProof/>
        </w:rPr>
        <w:tab/>
        <w:t xml:space="preserve">B. K. Wiederhold </w:t>
      </w:r>
      <w:r w:rsidRPr="00DC728B">
        <w:rPr>
          <w:i/>
          <w:iCs/>
          <w:noProof/>
        </w:rPr>
        <w:t>et al.</w:t>
      </w:r>
      <w:r w:rsidRPr="00DC728B">
        <w:rPr>
          <w:noProof/>
        </w:rPr>
        <w:t xml:space="preserve">, “An investigation into physiological responses in virtual environments: an objective measurement of presence,” </w:t>
      </w:r>
      <w:r w:rsidRPr="00DC728B">
        <w:rPr>
          <w:i/>
          <w:iCs/>
          <w:noProof/>
        </w:rPr>
        <w:t>Towar. cyberpsychology Mind, Cogn. Soc. internet age</w:t>
      </w:r>
      <w:r w:rsidRPr="00DC728B">
        <w:rPr>
          <w:noProof/>
        </w:rPr>
        <w:t>, vol. 2, pp. 175–183, 2001.</w:t>
      </w:r>
    </w:p>
    <w:p w14:paraId="092462DB" w14:textId="77777777" w:rsidR="00821405" w:rsidRPr="00DC728B" w:rsidRDefault="00821405" w:rsidP="00821405">
      <w:pPr>
        <w:widowControl w:val="0"/>
        <w:autoSpaceDE w:val="0"/>
        <w:autoSpaceDN w:val="0"/>
        <w:adjustRightInd w:val="0"/>
        <w:ind w:left="640" w:hanging="640"/>
        <w:rPr>
          <w:noProof/>
        </w:rPr>
      </w:pPr>
      <w:r w:rsidRPr="00DC728B">
        <w:rPr>
          <w:noProof/>
        </w:rPr>
        <w:t>[28]</w:t>
      </w:r>
      <w:r w:rsidRPr="00DC728B">
        <w:rPr>
          <w:noProof/>
        </w:rPr>
        <w:tab/>
        <w:t xml:space="preserve">S. G. Hart, “Nasa-Task Load Index (NASA-TLX); 20 Years Later,” </w:t>
      </w:r>
      <w:r w:rsidRPr="00DC728B">
        <w:rPr>
          <w:i/>
          <w:iCs/>
          <w:noProof/>
        </w:rPr>
        <w:t>Proc. Hum. Factors Ergon. Soc. Annu. Meet.</w:t>
      </w:r>
      <w:r w:rsidRPr="00DC728B">
        <w:rPr>
          <w:noProof/>
        </w:rPr>
        <w:t>, vol. 50, no. 9, pp. 904–908, Oct. 2006.</w:t>
      </w:r>
    </w:p>
    <w:p w14:paraId="53F117FD" w14:textId="77777777" w:rsidR="00821405" w:rsidRPr="00DC728B" w:rsidRDefault="00821405" w:rsidP="00821405">
      <w:pPr>
        <w:widowControl w:val="0"/>
        <w:autoSpaceDE w:val="0"/>
        <w:autoSpaceDN w:val="0"/>
        <w:adjustRightInd w:val="0"/>
        <w:ind w:left="640" w:hanging="640"/>
        <w:rPr>
          <w:noProof/>
        </w:rPr>
      </w:pPr>
      <w:r w:rsidRPr="00DC728B">
        <w:rPr>
          <w:noProof/>
        </w:rPr>
        <w:t>[29]</w:t>
      </w:r>
      <w:r w:rsidRPr="00DC728B">
        <w:rPr>
          <w:noProof/>
        </w:rPr>
        <w:tab/>
        <w:t xml:space="preserve">P. Aricò </w:t>
      </w:r>
      <w:r w:rsidRPr="00DC728B">
        <w:rPr>
          <w:i/>
          <w:iCs/>
          <w:noProof/>
        </w:rPr>
        <w:t>et al.</w:t>
      </w:r>
      <w:r w:rsidRPr="00DC728B">
        <w:rPr>
          <w:noProof/>
        </w:rPr>
        <w:t xml:space="preserve">, “Adaptive Automation Triggered by EEG-Based Mental Workload Index: A Passive Brain-Computer Interface Application in Realistic Air Traffic Control Environment,” </w:t>
      </w:r>
      <w:r w:rsidRPr="00DC728B">
        <w:rPr>
          <w:i/>
          <w:iCs/>
          <w:noProof/>
        </w:rPr>
        <w:t>Front. Hum. Neurosci.</w:t>
      </w:r>
      <w:r w:rsidRPr="00DC728B">
        <w:rPr>
          <w:noProof/>
        </w:rPr>
        <w:t>, vol. 10, p. 539, Oct. 2016.</w:t>
      </w:r>
    </w:p>
    <w:p w14:paraId="63323A19" w14:textId="77777777" w:rsidR="00821405" w:rsidRPr="00DC728B" w:rsidRDefault="00821405" w:rsidP="00821405">
      <w:pPr>
        <w:widowControl w:val="0"/>
        <w:autoSpaceDE w:val="0"/>
        <w:autoSpaceDN w:val="0"/>
        <w:adjustRightInd w:val="0"/>
        <w:ind w:left="640" w:hanging="640"/>
        <w:rPr>
          <w:noProof/>
        </w:rPr>
      </w:pPr>
      <w:r w:rsidRPr="00DC728B">
        <w:rPr>
          <w:noProof/>
        </w:rPr>
        <w:t>[30]</w:t>
      </w:r>
      <w:r w:rsidRPr="00DC728B">
        <w:rPr>
          <w:noProof/>
        </w:rPr>
        <w:tab/>
        <w:t xml:space="preserve">P. Aricò, G. Borghini, G. Di Flumeri, A. Colosimo, S. Pozzi, and F. Babiloni, “A passive Brain-Computer Interface (p-BCI) application for the mental workload assessment on professional Air Traffic Controllers (ATCOs) during realistic ATC tasks,” </w:t>
      </w:r>
      <w:r w:rsidRPr="00DC728B">
        <w:rPr>
          <w:i/>
          <w:iCs/>
          <w:noProof/>
        </w:rPr>
        <w:t>Prog. Brain Res. Press</w:t>
      </w:r>
      <w:r w:rsidRPr="00DC728B">
        <w:rPr>
          <w:noProof/>
        </w:rPr>
        <w:t>, 2016.</w:t>
      </w:r>
    </w:p>
    <w:p w14:paraId="18EBAE38" w14:textId="77777777" w:rsidR="00821405" w:rsidRPr="00DC728B" w:rsidRDefault="00821405" w:rsidP="00821405">
      <w:pPr>
        <w:widowControl w:val="0"/>
        <w:autoSpaceDE w:val="0"/>
        <w:autoSpaceDN w:val="0"/>
        <w:adjustRightInd w:val="0"/>
        <w:ind w:left="640" w:hanging="640"/>
        <w:rPr>
          <w:noProof/>
        </w:rPr>
      </w:pPr>
      <w:r w:rsidRPr="00DC728B">
        <w:rPr>
          <w:noProof/>
        </w:rPr>
        <w:t>[31]</w:t>
      </w:r>
      <w:r w:rsidRPr="00DC728B">
        <w:rPr>
          <w:noProof/>
        </w:rPr>
        <w:tab/>
        <w:t xml:space="preserve">G. Borghini </w:t>
      </w:r>
      <w:r w:rsidRPr="00DC728B">
        <w:rPr>
          <w:i/>
          <w:iCs/>
          <w:noProof/>
        </w:rPr>
        <w:t>et al.</w:t>
      </w:r>
      <w:r w:rsidRPr="00DC728B">
        <w:rPr>
          <w:noProof/>
        </w:rPr>
        <w:t xml:space="preserve">, “Frontal EEG theta changes assess the training improvements of novices in </w:t>
      </w:r>
      <w:r w:rsidRPr="00DC728B">
        <w:rPr>
          <w:noProof/>
        </w:rPr>
        <w:lastRenderedPageBreak/>
        <w:t xml:space="preserve">flight simulation tasks,” in </w:t>
      </w:r>
      <w:r w:rsidRPr="00DC728B">
        <w:rPr>
          <w:i/>
          <w:iCs/>
          <w:noProof/>
        </w:rPr>
        <w:t>2013 35th Annual International Conference of the IEEE Engineering in Medicine and Biology Society (EMBC)</w:t>
      </w:r>
      <w:r w:rsidRPr="00DC728B">
        <w:rPr>
          <w:noProof/>
        </w:rPr>
        <w:t>, 2013, pp. 6619–6622.</w:t>
      </w:r>
    </w:p>
    <w:p w14:paraId="24876BB8" w14:textId="77777777" w:rsidR="00821405" w:rsidRPr="00DC728B" w:rsidRDefault="00821405" w:rsidP="00821405">
      <w:pPr>
        <w:widowControl w:val="0"/>
        <w:autoSpaceDE w:val="0"/>
        <w:autoSpaceDN w:val="0"/>
        <w:adjustRightInd w:val="0"/>
        <w:ind w:left="640" w:hanging="640"/>
        <w:rPr>
          <w:noProof/>
        </w:rPr>
      </w:pPr>
      <w:r w:rsidRPr="00DC728B">
        <w:rPr>
          <w:noProof/>
        </w:rPr>
        <w:t>[32]</w:t>
      </w:r>
      <w:r w:rsidRPr="00DC728B">
        <w:rPr>
          <w:noProof/>
        </w:rPr>
        <w:tab/>
        <w:t xml:space="preserve">A. Gevins, M. E. Smith, L. McEvoy, and D. Yu, “High-resolution EEG mapping of cortical activation related to working memory: effects of task difficulty, type of processing, and practice,” </w:t>
      </w:r>
      <w:r w:rsidRPr="00DC728B">
        <w:rPr>
          <w:i/>
          <w:iCs/>
          <w:noProof/>
        </w:rPr>
        <w:t>Cereb. Cortex (New York, N.Y. 1991)</w:t>
      </w:r>
      <w:r w:rsidRPr="00DC728B">
        <w:rPr>
          <w:noProof/>
        </w:rPr>
        <w:t>, vol. 7, no. 4, pp. 374–385, Jun. 1997.</w:t>
      </w:r>
    </w:p>
    <w:p w14:paraId="7A3C2F5B" w14:textId="77777777" w:rsidR="00821405" w:rsidRPr="00DC728B" w:rsidRDefault="00821405" w:rsidP="00821405">
      <w:pPr>
        <w:widowControl w:val="0"/>
        <w:autoSpaceDE w:val="0"/>
        <w:autoSpaceDN w:val="0"/>
        <w:adjustRightInd w:val="0"/>
        <w:ind w:left="640" w:hanging="640"/>
        <w:rPr>
          <w:noProof/>
        </w:rPr>
      </w:pPr>
      <w:r w:rsidRPr="00DC728B">
        <w:rPr>
          <w:noProof/>
        </w:rPr>
        <w:t>[33]</w:t>
      </w:r>
      <w:r w:rsidRPr="00DC728B">
        <w:rPr>
          <w:noProof/>
        </w:rPr>
        <w:tab/>
        <w:t xml:space="preserve">G. Borghini </w:t>
      </w:r>
      <w:r w:rsidRPr="00DC728B">
        <w:rPr>
          <w:i/>
          <w:iCs/>
          <w:noProof/>
        </w:rPr>
        <w:t>et al.</w:t>
      </w:r>
      <w:r w:rsidRPr="00DC728B">
        <w:rPr>
          <w:noProof/>
        </w:rPr>
        <w:t xml:space="preserve">, “A neurophysiological training evaluation metric for Air Traffic Management,” in </w:t>
      </w:r>
      <w:r w:rsidRPr="00DC728B">
        <w:rPr>
          <w:i/>
          <w:iCs/>
          <w:noProof/>
        </w:rPr>
        <w:t>2014 36th Annual International Conference of the IEEE Engineering in Medicine and Biology Society</w:t>
      </w:r>
      <w:r w:rsidRPr="00DC728B">
        <w:rPr>
          <w:noProof/>
        </w:rPr>
        <w:t>, 2014, vol. 2014, pp. 3005–3008.</w:t>
      </w:r>
    </w:p>
    <w:p w14:paraId="71F1BB21" w14:textId="77777777" w:rsidR="00821405" w:rsidRPr="00DC728B" w:rsidRDefault="00821405" w:rsidP="00821405">
      <w:pPr>
        <w:widowControl w:val="0"/>
        <w:autoSpaceDE w:val="0"/>
        <w:autoSpaceDN w:val="0"/>
        <w:adjustRightInd w:val="0"/>
        <w:ind w:left="640" w:hanging="640"/>
        <w:rPr>
          <w:noProof/>
        </w:rPr>
      </w:pPr>
      <w:r w:rsidRPr="00DC728B">
        <w:rPr>
          <w:noProof/>
        </w:rPr>
        <w:t>[34]</w:t>
      </w:r>
      <w:r w:rsidRPr="00DC728B">
        <w:rPr>
          <w:noProof/>
        </w:rPr>
        <w:tab/>
        <w:t xml:space="preserve">G. Borghini </w:t>
      </w:r>
      <w:r w:rsidRPr="00DC728B">
        <w:rPr>
          <w:i/>
          <w:iCs/>
          <w:noProof/>
        </w:rPr>
        <w:t>et al.</w:t>
      </w:r>
      <w:r w:rsidRPr="00DC728B">
        <w:rPr>
          <w:noProof/>
        </w:rPr>
        <w:t xml:space="preserve">, “Avionic technology testing by using a cognitive neurometric index: A study with professional helicopter pilots,” in </w:t>
      </w:r>
      <w:r w:rsidRPr="00DC728B">
        <w:rPr>
          <w:i/>
          <w:iCs/>
          <w:noProof/>
        </w:rPr>
        <w:t>2015 37th Annual International Conference of the IEEE Engineering in Medicine and Biology Society (EMBC)</w:t>
      </w:r>
      <w:r w:rsidRPr="00DC728B">
        <w:rPr>
          <w:noProof/>
        </w:rPr>
        <w:t>, 2015, vol. 2015, pp. 6182–6185.</w:t>
      </w:r>
    </w:p>
    <w:p w14:paraId="61A4D19B" w14:textId="77777777" w:rsidR="00821405" w:rsidRPr="00DC728B" w:rsidRDefault="00821405" w:rsidP="00821405">
      <w:pPr>
        <w:widowControl w:val="0"/>
        <w:autoSpaceDE w:val="0"/>
        <w:autoSpaceDN w:val="0"/>
        <w:adjustRightInd w:val="0"/>
        <w:ind w:left="640" w:hanging="640"/>
        <w:rPr>
          <w:noProof/>
        </w:rPr>
      </w:pPr>
      <w:r w:rsidRPr="00DC728B">
        <w:rPr>
          <w:noProof/>
        </w:rPr>
        <w:t>[35]</w:t>
      </w:r>
      <w:r w:rsidRPr="00DC728B">
        <w:rPr>
          <w:noProof/>
        </w:rPr>
        <w:tab/>
        <w:t xml:space="preserve">P. Arico, G. Borghini, G. Di Flumeri, N. Sciaraffa, A. Colosimo, and F. Babiloni, “Passive BCI in Operational Environments: Insights, Recent Advances, and Future Trends,” </w:t>
      </w:r>
      <w:r w:rsidRPr="00DC728B">
        <w:rPr>
          <w:i/>
          <w:iCs/>
          <w:noProof/>
        </w:rPr>
        <w:t>IEEE Trans. Biomed. Eng.</w:t>
      </w:r>
      <w:r w:rsidRPr="00DC728B">
        <w:rPr>
          <w:noProof/>
        </w:rPr>
        <w:t>, vol. 64, no. 7, pp. 1431–1436, Jul. 2017.</w:t>
      </w:r>
    </w:p>
    <w:p w14:paraId="0B0A0173" w14:textId="77777777" w:rsidR="00821405" w:rsidRPr="00DC728B" w:rsidRDefault="00821405" w:rsidP="00821405">
      <w:pPr>
        <w:widowControl w:val="0"/>
        <w:autoSpaceDE w:val="0"/>
        <w:autoSpaceDN w:val="0"/>
        <w:adjustRightInd w:val="0"/>
        <w:ind w:left="640" w:hanging="640"/>
        <w:rPr>
          <w:noProof/>
        </w:rPr>
      </w:pPr>
      <w:r w:rsidRPr="00DC728B">
        <w:rPr>
          <w:noProof/>
        </w:rPr>
        <w:t>[36]</w:t>
      </w:r>
      <w:r w:rsidRPr="00DC728B">
        <w:rPr>
          <w:noProof/>
        </w:rPr>
        <w:tab/>
        <w:t>“Hobfoll, S. E., &amp; Shirom, A. (1993). Stress and burnout in the workplace conservation of resources. In R. T. Golembiewski (Ed.), Handbook of organizational behavior (pp. 41-60). New York M. Dekker. - References - Scientific Research Publishing.” [Online]. Available: https://www.scirp.org/(S(czeh2tfqyw2orz553k1w0r45))/reference/ReferencesPapers.aspx?ReferenceID=354005. [Accessed: 28-Jan-2022].</w:t>
      </w:r>
    </w:p>
    <w:p w14:paraId="19E65FF6" w14:textId="77777777" w:rsidR="00821405" w:rsidRPr="00DC728B" w:rsidRDefault="00821405" w:rsidP="00821405">
      <w:pPr>
        <w:widowControl w:val="0"/>
        <w:autoSpaceDE w:val="0"/>
        <w:autoSpaceDN w:val="0"/>
        <w:adjustRightInd w:val="0"/>
        <w:ind w:left="640" w:hanging="640"/>
        <w:rPr>
          <w:noProof/>
        </w:rPr>
      </w:pPr>
      <w:r w:rsidRPr="00DC728B">
        <w:rPr>
          <w:noProof/>
        </w:rPr>
        <w:t>[37]</w:t>
      </w:r>
      <w:r w:rsidRPr="00DC728B">
        <w:rPr>
          <w:noProof/>
        </w:rPr>
        <w:tab/>
        <w:t xml:space="preserve">N. Skoluda </w:t>
      </w:r>
      <w:r w:rsidRPr="00DC728B">
        <w:rPr>
          <w:i/>
          <w:iCs/>
          <w:noProof/>
        </w:rPr>
        <w:t>et al.</w:t>
      </w:r>
      <w:r w:rsidRPr="00DC728B">
        <w:rPr>
          <w:noProof/>
        </w:rPr>
        <w:t xml:space="preserve">, “Intra-individual psychological and physiological responses to acute laboratory stressors of different intensity,” </w:t>
      </w:r>
      <w:r w:rsidRPr="00DC728B">
        <w:rPr>
          <w:i/>
          <w:iCs/>
          <w:noProof/>
        </w:rPr>
        <w:t>Psychoneuroendocrinology</w:t>
      </w:r>
      <w:r w:rsidRPr="00DC728B">
        <w:rPr>
          <w:noProof/>
        </w:rPr>
        <w:t>, vol. 51, pp. 227–236, Jan. 2015.</w:t>
      </w:r>
    </w:p>
    <w:p w14:paraId="35FC2946" w14:textId="77777777" w:rsidR="00821405" w:rsidRPr="00DC728B" w:rsidRDefault="00821405" w:rsidP="00821405">
      <w:pPr>
        <w:widowControl w:val="0"/>
        <w:autoSpaceDE w:val="0"/>
        <w:autoSpaceDN w:val="0"/>
        <w:adjustRightInd w:val="0"/>
        <w:ind w:left="640" w:hanging="640"/>
        <w:rPr>
          <w:noProof/>
        </w:rPr>
      </w:pPr>
      <w:r w:rsidRPr="00DC728B">
        <w:rPr>
          <w:noProof/>
        </w:rPr>
        <w:t>[38]</w:t>
      </w:r>
      <w:r w:rsidRPr="00DC728B">
        <w:rPr>
          <w:noProof/>
        </w:rPr>
        <w:tab/>
        <w:t xml:space="preserve">H. Sequeira, P. Hot, L. Silvert, and S. Delplanque, “Electrical autonomic correlates of emotion,” </w:t>
      </w:r>
      <w:r w:rsidRPr="00DC728B">
        <w:rPr>
          <w:i/>
          <w:iCs/>
          <w:noProof/>
        </w:rPr>
        <w:t>Int. J. Psychophysiol.</w:t>
      </w:r>
      <w:r w:rsidRPr="00DC728B">
        <w:rPr>
          <w:noProof/>
        </w:rPr>
        <w:t>, vol. 71, no. 1, pp. 50–56, Jan. 2009.</w:t>
      </w:r>
    </w:p>
    <w:p w14:paraId="25C83228" w14:textId="77777777" w:rsidR="00821405" w:rsidRPr="00DC728B" w:rsidRDefault="00821405" w:rsidP="00821405">
      <w:pPr>
        <w:widowControl w:val="0"/>
        <w:autoSpaceDE w:val="0"/>
        <w:autoSpaceDN w:val="0"/>
        <w:adjustRightInd w:val="0"/>
        <w:ind w:left="640" w:hanging="640"/>
        <w:rPr>
          <w:noProof/>
        </w:rPr>
      </w:pPr>
      <w:r w:rsidRPr="00DC728B">
        <w:rPr>
          <w:noProof/>
        </w:rPr>
        <w:t>[39]</w:t>
      </w:r>
      <w:r w:rsidRPr="00DC728B">
        <w:rPr>
          <w:noProof/>
        </w:rPr>
        <w:tab/>
        <w:t xml:space="preserve">W. Boucsein, </w:t>
      </w:r>
      <w:r w:rsidRPr="00DC728B">
        <w:rPr>
          <w:i/>
          <w:iCs/>
          <w:noProof/>
        </w:rPr>
        <w:t>Electrodermal activity</w:t>
      </w:r>
      <w:r w:rsidRPr="00DC728B">
        <w:rPr>
          <w:noProof/>
        </w:rPr>
        <w:t>. Springer Science+Business Media, LLC, 2012.</w:t>
      </w:r>
    </w:p>
    <w:p w14:paraId="0C38E633" w14:textId="77777777" w:rsidR="00821405" w:rsidRPr="00DC728B" w:rsidRDefault="00821405" w:rsidP="00821405">
      <w:pPr>
        <w:widowControl w:val="0"/>
        <w:autoSpaceDE w:val="0"/>
        <w:autoSpaceDN w:val="0"/>
        <w:adjustRightInd w:val="0"/>
        <w:ind w:left="640" w:hanging="640"/>
        <w:rPr>
          <w:noProof/>
        </w:rPr>
      </w:pPr>
      <w:r w:rsidRPr="00DC728B">
        <w:rPr>
          <w:noProof/>
        </w:rPr>
        <w:t>[40]</w:t>
      </w:r>
      <w:r w:rsidRPr="00DC728B">
        <w:rPr>
          <w:noProof/>
        </w:rPr>
        <w:tab/>
        <w:t xml:space="preserve">G. Borghini </w:t>
      </w:r>
      <w:r w:rsidRPr="00DC728B">
        <w:rPr>
          <w:i/>
          <w:iCs/>
          <w:noProof/>
        </w:rPr>
        <w:t>et al.</w:t>
      </w:r>
      <w:r w:rsidRPr="00DC728B">
        <w:rPr>
          <w:noProof/>
        </w:rPr>
        <w:t xml:space="preserve">, “A multimodal and signals fusion approach for assessing the impact of stressful events on Air Traffic Controllers,” </w:t>
      </w:r>
      <w:r w:rsidRPr="00DC728B">
        <w:rPr>
          <w:i/>
          <w:iCs/>
          <w:noProof/>
        </w:rPr>
        <w:t>Sci. Rep.</w:t>
      </w:r>
      <w:r w:rsidRPr="00DC728B">
        <w:rPr>
          <w:noProof/>
        </w:rPr>
        <w:t>, vol. 10, no. 1, pp. 1–18, Dec. 2020.</w:t>
      </w:r>
    </w:p>
    <w:p w14:paraId="7DE3F8CE" w14:textId="77777777" w:rsidR="00821405" w:rsidRPr="00DC728B" w:rsidRDefault="00821405" w:rsidP="00821405">
      <w:pPr>
        <w:widowControl w:val="0"/>
        <w:autoSpaceDE w:val="0"/>
        <w:autoSpaceDN w:val="0"/>
        <w:adjustRightInd w:val="0"/>
        <w:ind w:left="640" w:hanging="640"/>
        <w:rPr>
          <w:noProof/>
        </w:rPr>
      </w:pPr>
      <w:r w:rsidRPr="00DC728B">
        <w:rPr>
          <w:noProof/>
        </w:rPr>
        <w:t>[41]</w:t>
      </w:r>
      <w:r w:rsidRPr="00DC728B">
        <w:rPr>
          <w:noProof/>
        </w:rPr>
        <w:tab/>
        <w:t xml:space="preserve">F. Al-Shargie, M. Kiguchi, N. Badruddin, S. C. Dass, A. F. M. Hani, and T. B. Tang, “Mental stress assessment using simultaneous measurement of EEG and fNIRS,” </w:t>
      </w:r>
      <w:r w:rsidRPr="00DC728B">
        <w:rPr>
          <w:i/>
          <w:iCs/>
          <w:noProof/>
        </w:rPr>
        <w:t>Biomed. Opt. Express</w:t>
      </w:r>
      <w:r w:rsidRPr="00DC728B">
        <w:rPr>
          <w:noProof/>
        </w:rPr>
        <w:t>, vol. 7, no. 10, p. 3882, Oct. 2016.</w:t>
      </w:r>
    </w:p>
    <w:p w14:paraId="2DCD0593" w14:textId="77777777" w:rsidR="00821405" w:rsidRPr="00DC728B" w:rsidRDefault="00821405" w:rsidP="00821405">
      <w:pPr>
        <w:widowControl w:val="0"/>
        <w:autoSpaceDE w:val="0"/>
        <w:autoSpaceDN w:val="0"/>
        <w:adjustRightInd w:val="0"/>
        <w:ind w:left="640" w:hanging="640"/>
        <w:rPr>
          <w:noProof/>
        </w:rPr>
      </w:pPr>
      <w:r w:rsidRPr="00DC728B">
        <w:rPr>
          <w:noProof/>
        </w:rPr>
        <w:t>[42]</w:t>
      </w:r>
      <w:r w:rsidRPr="00DC728B">
        <w:rPr>
          <w:noProof/>
        </w:rPr>
        <w:tab/>
        <w:t xml:space="preserve">S.-H. Seo and J.-T. Lee, “Stress and EEG,” </w:t>
      </w:r>
      <w:r w:rsidRPr="00DC728B">
        <w:rPr>
          <w:i/>
          <w:iCs/>
          <w:noProof/>
        </w:rPr>
        <w:t>Converg. Hybrid Inf. Technol.</w:t>
      </w:r>
      <w:r w:rsidRPr="00DC728B">
        <w:rPr>
          <w:noProof/>
        </w:rPr>
        <w:t>, Mar. 2010.</w:t>
      </w:r>
    </w:p>
    <w:p w14:paraId="2D5BB34B" w14:textId="77777777" w:rsidR="00821405" w:rsidRPr="00DC728B" w:rsidRDefault="00821405" w:rsidP="00821405">
      <w:pPr>
        <w:widowControl w:val="0"/>
        <w:autoSpaceDE w:val="0"/>
        <w:autoSpaceDN w:val="0"/>
        <w:adjustRightInd w:val="0"/>
        <w:ind w:left="640" w:hanging="640"/>
        <w:rPr>
          <w:noProof/>
        </w:rPr>
      </w:pPr>
      <w:r w:rsidRPr="00DC728B">
        <w:rPr>
          <w:noProof/>
        </w:rPr>
        <w:t>[43]</w:t>
      </w:r>
      <w:r w:rsidRPr="00DC728B">
        <w:rPr>
          <w:noProof/>
        </w:rPr>
        <w:tab/>
        <w:t xml:space="preserve">Z. H. Murat, M. N. Taib, Z. M. Hanafiah, S. Lias, R. S. S. A. Kadir, and H. A. Rahman, “Initial investigation of brainwave synchronization after five sessions of horizontal rotation intervention using EEG,” </w:t>
      </w:r>
      <w:r w:rsidRPr="00DC728B">
        <w:rPr>
          <w:i/>
          <w:iCs/>
          <w:noProof/>
        </w:rPr>
        <w:t>Proc. 2009 5th Int. Colloq. Signal Process. Its Appl. CSPA 2009</w:t>
      </w:r>
      <w:r w:rsidRPr="00DC728B">
        <w:rPr>
          <w:noProof/>
        </w:rPr>
        <w:t>, pp. 350–354, 2009.</w:t>
      </w:r>
    </w:p>
    <w:p w14:paraId="31FA0463" w14:textId="77777777" w:rsidR="00821405" w:rsidRPr="00DC728B" w:rsidRDefault="00821405" w:rsidP="00821405">
      <w:pPr>
        <w:widowControl w:val="0"/>
        <w:autoSpaceDE w:val="0"/>
        <w:autoSpaceDN w:val="0"/>
        <w:adjustRightInd w:val="0"/>
        <w:ind w:left="640" w:hanging="640"/>
        <w:rPr>
          <w:noProof/>
        </w:rPr>
      </w:pPr>
      <w:r w:rsidRPr="00DC728B">
        <w:rPr>
          <w:noProof/>
        </w:rPr>
        <w:t>[44]</w:t>
      </w:r>
      <w:r w:rsidRPr="00DC728B">
        <w:rPr>
          <w:noProof/>
        </w:rPr>
        <w:tab/>
        <w:t xml:space="preserve">R. S. Lewis, N. Y. Weekes, and T. H. Wang, “The effect of a naturalistic stressor on frontal EEG asymmetry, stress, and health,” </w:t>
      </w:r>
      <w:r w:rsidRPr="00DC728B">
        <w:rPr>
          <w:i/>
          <w:iCs/>
          <w:noProof/>
        </w:rPr>
        <w:t>Biol. Psychol.</w:t>
      </w:r>
      <w:r w:rsidRPr="00DC728B">
        <w:rPr>
          <w:noProof/>
        </w:rPr>
        <w:t>, vol. 75, no. 3, pp. 239–247, Jul. 2007.</w:t>
      </w:r>
    </w:p>
    <w:p w14:paraId="5F871005" w14:textId="77777777" w:rsidR="00821405" w:rsidRPr="00DC728B" w:rsidRDefault="00821405" w:rsidP="00821405">
      <w:pPr>
        <w:widowControl w:val="0"/>
        <w:autoSpaceDE w:val="0"/>
        <w:autoSpaceDN w:val="0"/>
        <w:adjustRightInd w:val="0"/>
        <w:ind w:left="640" w:hanging="640"/>
        <w:rPr>
          <w:noProof/>
        </w:rPr>
      </w:pPr>
      <w:r w:rsidRPr="00DC728B">
        <w:rPr>
          <w:noProof/>
        </w:rPr>
        <w:t>[45]</w:t>
      </w:r>
      <w:r w:rsidRPr="00DC728B">
        <w:rPr>
          <w:noProof/>
        </w:rPr>
        <w:tab/>
        <w:t xml:space="preserve">N. Sciaraffa </w:t>
      </w:r>
      <w:r w:rsidRPr="00DC728B">
        <w:rPr>
          <w:i/>
          <w:iCs/>
          <w:noProof/>
        </w:rPr>
        <w:t>et al.</w:t>
      </w:r>
      <w:r w:rsidRPr="00DC728B">
        <w:rPr>
          <w:noProof/>
        </w:rPr>
        <w:t xml:space="preserve">, “Validation of a Light EEG-Based Measure for Real-Time Stress Monitoring during Realistic Driving,” </w:t>
      </w:r>
      <w:r w:rsidRPr="00DC728B">
        <w:rPr>
          <w:i/>
          <w:iCs/>
          <w:noProof/>
        </w:rPr>
        <w:t>Brain Sci. 2022, Vol. 12, Page 304</w:t>
      </w:r>
      <w:r w:rsidRPr="00DC728B">
        <w:rPr>
          <w:noProof/>
        </w:rPr>
        <w:t>, vol. 12, no. 3, p. 304, Feb. 2022.</w:t>
      </w:r>
    </w:p>
    <w:p w14:paraId="5B7E89A6" w14:textId="77777777" w:rsidR="00821405" w:rsidRPr="00DC728B" w:rsidRDefault="00821405" w:rsidP="00821405">
      <w:pPr>
        <w:widowControl w:val="0"/>
        <w:autoSpaceDE w:val="0"/>
        <w:autoSpaceDN w:val="0"/>
        <w:adjustRightInd w:val="0"/>
        <w:ind w:left="640" w:hanging="640"/>
        <w:rPr>
          <w:noProof/>
        </w:rPr>
      </w:pPr>
      <w:r w:rsidRPr="00DC728B">
        <w:rPr>
          <w:noProof/>
        </w:rPr>
        <w:lastRenderedPageBreak/>
        <w:t>[46]</w:t>
      </w:r>
      <w:r w:rsidRPr="00DC728B">
        <w:rPr>
          <w:noProof/>
        </w:rPr>
        <w:tab/>
        <w:t xml:space="preserve">“APPETITIVE-AVERSIVE INTERACTIONS AND INHIBITORY PROCESSES | A. Dickins.” </w:t>
      </w:r>
      <w:r w:rsidRPr="009E0C1A">
        <w:rPr>
          <w:noProof/>
          <w:lang w:val="fr-FR"/>
        </w:rPr>
        <w:t xml:space="preserve">[Online]. Available: https://www.taylorfrancis.com/chapters/mono/10.4324/9781315802435-12/appetitive-aversive-interactions-inhibitory-processes-dickinson-boakes. </w:t>
      </w:r>
      <w:r w:rsidRPr="00DC728B">
        <w:rPr>
          <w:noProof/>
        </w:rPr>
        <w:t>[Accessed: 28-Jan-2022].</w:t>
      </w:r>
    </w:p>
    <w:p w14:paraId="20738C7C" w14:textId="77777777" w:rsidR="00821405" w:rsidRPr="00DC728B" w:rsidRDefault="00821405" w:rsidP="00821405">
      <w:pPr>
        <w:widowControl w:val="0"/>
        <w:autoSpaceDE w:val="0"/>
        <w:autoSpaceDN w:val="0"/>
        <w:adjustRightInd w:val="0"/>
        <w:ind w:left="640" w:hanging="640"/>
        <w:rPr>
          <w:noProof/>
        </w:rPr>
      </w:pPr>
      <w:r w:rsidRPr="00DC728B">
        <w:rPr>
          <w:noProof/>
        </w:rPr>
        <w:t>[47]</w:t>
      </w:r>
      <w:r w:rsidRPr="00DC728B">
        <w:rPr>
          <w:noProof/>
        </w:rPr>
        <w:tab/>
        <w:t>P. Ekman and R. J. Davidson, “The Nature of Emotion: Fundamental Questions.” 1994.</w:t>
      </w:r>
    </w:p>
    <w:p w14:paraId="0BE12919" w14:textId="77777777" w:rsidR="00821405" w:rsidRPr="00DC728B" w:rsidRDefault="00821405" w:rsidP="00821405">
      <w:pPr>
        <w:widowControl w:val="0"/>
        <w:autoSpaceDE w:val="0"/>
        <w:autoSpaceDN w:val="0"/>
        <w:adjustRightInd w:val="0"/>
        <w:ind w:left="640" w:hanging="640"/>
        <w:rPr>
          <w:noProof/>
        </w:rPr>
      </w:pPr>
      <w:r w:rsidRPr="00DC728B">
        <w:rPr>
          <w:noProof/>
        </w:rPr>
        <w:t>[48]</w:t>
      </w:r>
      <w:r w:rsidRPr="00DC728B">
        <w:rPr>
          <w:noProof/>
        </w:rPr>
        <w:tab/>
        <w:t>“Affect, cognition, and hemispheric specialization. - PsycNET.” [Online]. Available: https://psycnet.apa.org/record/1988-98011-011. [Accessed: 28-Jan-2022].</w:t>
      </w:r>
    </w:p>
    <w:p w14:paraId="57F25276" w14:textId="77777777" w:rsidR="00821405" w:rsidRPr="00DC728B" w:rsidRDefault="00821405" w:rsidP="00821405">
      <w:pPr>
        <w:widowControl w:val="0"/>
        <w:autoSpaceDE w:val="0"/>
        <w:autoSpaceDN w:val="0"/>
        <w:adjustRightInd w:val="0"/>
        <w:ind w:left="640" w:hanging="640"/>
        <w:rPr>
          <w:noProof/>
        </w:rPr>
      </w:pPr>
      <w:r w:rsidRPr="00DC728B">
        <w:rPr>
          <w:noProof/>
        </w:rPr>
        <w:t>[49]</w:t>
      </w:r>
      <w:r w:rsidRPr="00DC728B">
        <w:rPr>
          <w:noProof/>
        </w:rPr>
        <w:tab/>
        <w:t xml:space="preserve">E. Harmon-Jones, C. Harmon-Jones, M. Fearn, J. D. Sigelman, and P. Johnson, “Left frontal cortical activation and spreading of alternatives: tests of the action-based model of dissonance,” </w:t>
      </w:r>
      <w:r w:rsidRPr="00DC728B">
        <w:rPr>
          <w:i/>
          <w:iCs/>
          <w:noProof/>
        </w:rPr>
        <w:t>J. Pers. Soc. Psychol.</w:t>
      </w:r>
      <w:r w:rsidRPr="00DC728B">
        <w:rPr>
          <w:noProof/>
        </w:rPr>
        <w:t>, vol. 94, no. 1, pp. 1–15, Jan. 2008.</w:t>
      </w:r>
    </w:p>
    <w:p w14:paraId="0652636B" w14:textId="77777777" w:rsidR="00821405" w:rsidRPr="00DC728B" w:rsidRDefault="00821405" w:rsidP="00821405">
      <w:pPr>
        <w:widowControl w:val="0"/>
        <w:autoSpaceDE w:val="0"/>
        <w:autoSpaceDN w:val="0"/>
        <w:adjustRightInd w:val="0"/>
        <w:ind w:left="640" w:hanging="640"/>
        <w:rPr>
          <w:noProof/>
        </w:rPr>
      </w:pPr>
      <w:r w:rsidRPr="00DC728B">
        <w:rPr>
          <w:noProof/>
        </w:rPr>
        <w:t>[50]</w:t>
      </w:r>
      <w:r w:rsidRPr="00DC728B">
        <w:rPr>
          <w:noProof/>
        </w:rPr>
        <w:tab/>
        <w:t xml:space="preserve">D. Kimura, “Brain asymmetry.,” </w:t>
      </w:r>
      <w:r w:rsidRPr="00DC728B">
        <w:rPr>
          <w:i/>
          <w:iCs/>
          <w:noProof/>
        </w:rPr>
        <w:t>Contemp. Psychol.</w:t>
      </w:r>
      <w:r w:rsidRPr="00DC728B">
        <w:rPr>
          <w:noProof/>
        </w:rPr>
        <w:t>, vol. 17, no. 10, pp. 556–557, Oct. 1972.</w:t>
      </w:r>
    </w:p>
    <w:p w14:paraId="21BCBE97" w14:textId="77777777" w:rsidR="00821405" w:rsidRPr="00DC728B" w:rsidRDefault="00821405" w:rsidP="00821405">
      <w:pPr>
        <w:widowControl w:val="0"/>
        <w:autoSpaceDE w:val="0"/>
        <w:autoSpaceDN w:val="0"/>
        <w:adjustRightInd w:val="0"/>
        <w:ind w:left="640" w:hanging="640"/>
        <w:rPr>
          <w:noProof/>
        </w:rPr>
      </w:pPr>
      <w:r w:rsidRPr="00DC728B">
        <w:rPr>
          <w:noProof/>
        </w:rPr>
        <w:t>[51]</w:t>
      </w:r>
      <w:r w:rsidRPr="00DC728B">
        <w:rPr>
          <w:noProof/>
        </w:rPr>
        <w:tab/>
        <w:t xml:space="preserve">G. Cartocci </w:t>
      </w:r>
      <w:r w:rsidRPr="00DC728B">
        <w:rPr>
          <w:i/>
          <w:iCs/>
          <w:noProof/>
        </w:rPr>
        <w:t>et al.</w:t>
      </w:r>
      <w:r w:rsidRPr="00DC728B">
        <w:rPr>
          <w:noProof/>
        </w:rPr>
        <w:t xml:space="preserve">, “Neurophysiological Measures of the Perception of Antismoking Public Service Announcements Among Young Population,” </w:t>
      </w:r>
      <w:r w:rsidRPr="00DC728B">
        <w:rPr>
          <w:i/>
          <w:iCs/>
          <w:noProof/>
        </w:rPr>
        <w:t>Front. Hum. Neurosci.</w:t>
      </w:r>
      <w:r w:rsidRPr="00DC728B">
        <w:rPr>
          <w:noProof/>
        </w:rPr>
        <w:t>, vol. 12, Aug. 2018.</w:t>
      </w:r>
    </w:p>
    <w:p w14:paraId="60E85B9A" w14:textId="77777777" w:rsidR="00821405" w:rsidRPr="00DC728B" w:rsidRDefault="00821405" w:rsidP="00821405">
      <w:pPr>
        <w:widowControl w:val="0"/>
        <w:autoSpaceDE w:val="0"/>
        <w:autoSpaceDN w:val="0"/>
        <w:adjustRightInd w:val="0"/>
        <w:ind w:left="640" w:hanging="640"/>
        <w:rPr>
          <w:noProof/>
        </w:rPr>
      </w:pPr>
      <w:r w:rsidRPr="00DC728B">
        <w:rPr>
          <w:noProof/>
        </w:rPr>
        <w:t>[52]</w:t>
      </w:r>
      <w:r w:rsidRPr="00DC728B">
        <w:rPr>
          <w:noProof/>
        </w:rPr>
        <w:tab/>
        <w:t xml:space="preserve">G. Cartocci </w:t>
      </w:r>
      <w:r w:rsidRPr="00DC728B">
        <w:rPr>
          <w:i/>
          <w:iCs/>
          <w:noProof/>
        </w:rPr>
        <w:t>et al.</w:t>
      </w:r>
      <w:r w:rsidRPr="00DC728B">
        <w:rPr>
          <w:noProof/>
        </w:rPr>
        <w:t xml:space="preserve">, “NeuroDante: Poetry Mentally Engages More Experts but Moves More Non-Experts, and for Both the Cerebral Approach Tendency Goes Hand in Hand with the Cerebral Effort,” </w:t>
      </w:r>
      <w:r w:rsidRPr="00DC728B">
        <w:rPr>
          <w:i/>
          <w:iCs/>
          <w:noProof/>
        </w:rPr>
        <w:t>Brain Sci.</w:t>
      </w:r>
      <w:r w:rsidRPr="00DC728B">
        <w:rPr>
          <w:noProof/>
        </w:rPr>
        <w:t>, vol. 11, no. 3, pp. 1–25, Mar. 2021.</w:t>
      </w:r>
    </w:p>
    <w:p w14:paraId="4D0F1E5A" w14:textId="77777777" w:rsidR="00821405" w:rsidRPr="00DC728B" w:rsidRDefault="00821405" w:rsidP="00821405">
      <w:pPr>
        <w:widowControl w:val="0"/>
        <w:autoSpaceDE w:val="0"/>
        <w:autoSpaceDN w:val="0"/>
        <w:adjustRightInd w:val="0"/>
        <w:ind w:left="640" w:hanging="640"/>
        <w:rPr>
          <w:noProof/>
        </w:rPr>
      </w:pPr>
      <w:r w:rsidRPr="00DC728B">
        <w:rPr>
          <w:noProof/>
        </w:rPr>
        <w:t>[53]</w:t>
      </w:r>
      <w:r w:rsidRPr="00DC728B">
        <w:rPr>
          <w:noProof/>
        </w:rPr>
        <w:tab/>
        <w:t xml:space="preserve">G. Di Flumeri, P. Aricó, G. Borghini, A. Colosimo, and F. Babiloni, “A new regression-based method for the eye blinks artifacts correction in the EEG signal, without using any EOG channel,” in </w:t>
      </w:r>
      <w:r w:rsidRPr="00DC728B">
        <w:rPr>
          <w:i/>
          <w:iCs/>
          <w:noProof/>
        </w:rPr>
        <w:t>Engineering in Medicine and Biology Society (EMBC), 2016 IEEE 38th Annual International Conference of the</w:t>
      </w:r>
      <w:r w:rsidRPr="00DC728B">
        <w:rPr>
          <w:noProof/>
        </w:rPr>
        <w:t>, 2016, pp. 3187–3190.</w:t>
      </w:r>
    </w:p>
    <w:p w14:paraId="580C42C1" w14:textId="77777777" w:rsidR="00821405" w:rsidRPr="00DC728B" w:rsidRDefault="00821405" w:rsidP="00821405">
      <w:pPr>
        <w:widowControl w:val="0"/>
        <w:autoSpaceDE w:val="0"/>
        <w:autoSpaceDN w:val="0"/>
        <w:adjustRightInd w:val="0"/>
        <w:ind w:left="640" w:hanging="640"/>
        <w:rPr>
          <w:noProof/>
        </w:rPr>
      </w:pPr>
      <w:r w:rsidRPr="00DC728B">
        <w:rPr>
          <w:noProof/>
        </w:rPr>
        <w:t>[54]</w:t>
      </w:r>
      <w:r w:rsidRPr="00DC728B">
        <w:rPr>
          <w:noProof/>
        </w:rPr>
        <w:tab/>
        <w:t xml:space="preserve">B. Somers, T. Francart, and A. Bertrand, “A generic EEG artifact removal algorithm based on the multi-channel Wiener filter,” </w:t>
      </w:r>
      <w:r w:rsidRPr="00DC728B">
        <w:rPr>
          <w:i/>
          <w:iCs/>
          <w:noProof/>
        </w:rPr>
        <w:t>J. Neural Eng.</w:t>
      </w:r>
      <w:r w:rsidRPr="00DC728B">
        <w:rPr>
          <w:noProof/>
        </w:rPr>
        <w:t>, vol. 15, no. 3, p. 36007, 2018.</w:t>
      </w:r>
    </w:p>
    <w:p w14:paraId="6969BAB5" w14:textId="77777777" w:rsidR="00821405" w:rsidRPr="00DC728B" w:rsidRDefault="00821405" w:rsidP="00821405">
      <w:pPr>
        <w:widowControl w:val="0"/>
        <w:autoSpaceDE w:val="0"/>
        <w:autoSpaceDN w:val="0"/>
        <w:adjustRightInd w:val="0"/>
        <w:ind w:left="640" w:hanging="640"/>
        <w:rPr>
          <w:noProof/>
        </w:rPr>
      </w:pPr>
      <w:r w:rsidRPr="00DC728B">
        <w:rPr>
          <w:noProof/>
        </w:rPr>
        <w:t>[55]</w:t>
      </w:r>
      <w:r w:rsidRPr="00DC728B">
        <w:rPr>
          <w:noProof/>
        </w:rPr>
        <w:tab/>
        <w:t xml:space="preserve">W. Klimesch, “EEG alpha and theta oscillations reflect cognitive and memory performance: a review and analysis,” </w:t>
      </w:r>
      <w:r w:rsidRPr="00DC728B">
        <w:rPr>
          <w:i/>
          <w:iCs/>
          <w:noProof/>
        </w:rPr>
        <w:t>Brain Res. Brain Res. Rev.</w:t>
      </w:r>
      <w:r w:rsidRPr="00DC728B">
        <w:rPr>
          <w:noProof/>
        </w:rPr>
        <w:t>, vol. 29, no. 2–3, pp. 169–195, Apr. 1999.</w:t>
      </w:r>
    </w:p>
    <w:p w14:paraId="182C8E5E" w14:textId="77777777" w:rsidR="00821405" w:rsidRPr="00DC728B" w:rsidRDefault="00821405" w:rsidP="00821405">
      <w:pPr>
        <w:widowControl w:val="0"/>
        <w:autoSpaceDE w:val="0"/>
        <w:autoSpaceDN w:val="0"/>
        <w:adjustRightInd w:val="0"/>
        <w:ind w:left="640" w:hanging="640"/>
        <w:rPr>
          <w:noProof/>
        </w:rPr>
      </w:pPr>
      <w:r w:rsidRPr="00DC728B">
        <w:rPr>
          <w:noProof/>
        </w:rPr>
        <w:t>[56]</w:t>
      </w:r>
      <w:r w:rsidRPr="00DC728B">
        <w:rPr>
          <w:noProof/>
        </w:rPr>
        <w:tab/>
        <w:t xml:space="preserve">G. Cartocci </w:t>
      </w:r>
      <w:r w:rsidRPr="00DC728B">
        <w:rPr>
          <w:i/>
          <w:iCs/>
          <w:noProof/>
        </w:rPr>
        <w:t>et al.</w:t>
      </w:r>
      <w:r w:rsidRPr="00DC728B">
        <w:rPr>
          <w:noProof/>
        </w:rPr>
        <w:t xml:space="preserve">, “Electroencephalographic, Heart Rate, and Galvanic Skin Response Assessment for an Advertising Perception Study: Application to Antismoking Public Service Announcements,” </w:t>
      </w:r>
      <w:r w:rsidRPr="00DC728B">
        <w:rPr>
          <w:i/>
          <w:iCs/>
          <w:noProof/>
        </w:rPr>
        <w:t>J. Vis. Exp.</w:t>
      </w:r>
      <w:r w:rsidRPr="00DC728B">
        <w:rPr>
          <w:noProof/>
        </w:rPr>
        <w:t>, vol. 2017, no. 126, Aug. 2017.</w:t>
      </w:r>
    </w:p>
    <w:p w14:paraId="005E731C" w14:textId="77777777" w:rsidR="00821405" w:rsidRPr="00DC728B" w:rsidRDefault="00821405" w:rsidP="00821405">
      <w:pPr>
        <w:widowControl w:val="0"/>
        <w:autoSpaceDE w:val="0"/>
        <w:autoSpaceDN w:val="0"/>
        <w:adjustRightInd w:val="0"/>
        <w:ind w:left="640" w:hanging="640"/>
        <w:rPr>
          <w:noProof/>
        </w:rPr>
      </w:pPr>
      <w:r w:rsidRPr="00DC728B">
        <w:rPr>
          <w:noProof/>
        </w:rPr>
        <w:t>[57]</w:t>
      </w:r>
      <w:r w:rsidRPr="00DC728B">
        <w:rPr>
          <w:noProof/>
        </w:rPr>
        <w:tab/>
        <w:t xml:space="preserve">P. Arico </w:t>
      </w:r>
      <w:r w:rsidRPr="00DC728B">
        <w:rPr>
          <w:i/>
          <w:iCs/>
          <w:noProof/>
        </w:rPr>
        <w:t>et al.</w:t>
      </w:r>
      <w:r w:rsidRPr="00DC728B">
        <w:rPr>
          <w:noProof/>
        </w:rPr>
        <w:t xml:space="preserve">, “Human Factors and Neurophysiological Metrics in Air Traffic Control: a Critical Review,” </w:t>
      </w:r>
      <w:r w:rsidRPr="00DC728B">
        <w:rPr>
          <w:i/>
          <w:iCs/>
          <w:noProof/>
        </w:rPr>
        <w:t>IEEE Rev. Biomed. Eng.</w:t>
      </w:r>
      <w:r w:rsidRPr="00DC728B">
        <w:rPr>
          <w:noProof/>
        </w:rPr>
        <w:t>, vol. PP, no. 99, pp. 1–1, 2017.</w:t>
      </w:r>
    </w:p>
    <w:p w14:paraId="4272AD2C" w14:textId="77777777" w:rsidR="00821405" w:rsidRPr="00DC728B" w:rsidRDefault="00821405" w:rsidP="00821405">
      <w:pPr>
        <w:widowControl w:val="0"/>
        <w:autoSpaceDE w:val="0"/>
        <w:autoSpaceDN w:val="0"/>
        <w:adjustRightInd w:val="0"/>
        <w:ind w:left="640" w:hanging="640"/>
        <w:rPr>
          <w:noProof/>
        </w:rPr>
      </w:pPr>
      <w:r w:rsidRPr="00DC728B">
        <w:rPr>
          <w:noProof/>
        </w:rPr>
        <w:t>[58]</w:t>
      </w:r>
      <w:r w:rsidRPr="00DC728B">
        <w:rPr>
          <w:noProof/>
        </w:rPr>
        <w:tab/>
        <w:t xml:space="preserve">C. De Boor and C. De Boor, </w:t>
      </w:r>
      <w:r w:rsidRPr="00DC728B">
        <w:rPr>
          <w:i/>
          <w:iCs/>
          <w:noProof/>
        </w:rPr>
        <w:t>A practical guide to splines</w:t>
      </w:r>
      <w:r w:rsidRPr="00DC728B">
        <w:rPr>
          <w:noProof/>
        </w:rPr>
        <w:t>, vol. 27. springer-verlag New York, 1978.</w:t>
      </w:r>
    </w:p>
    <w:p w14:paraId="446A4D13" w14:textId="77777777" w:rsidR="00821405" w:rsidRPr="00DC728B" w:rsidRDefault="00821405" w:rsidP="00821405">
      <w:pPr>
        <w:widowControl w:val="0"/>
        <w:autoSpaceDE w:val="0"/>
        <w:autoSpaceDN w:val="0"/>
        <w:adjustRightInd w:val="0"/>
        <w:ind w:left="640" w:hanging="640"/>
        <w:rPr>
          <w:noProof/>
        </w:rPr>
      </w:pPr>
      <w:r w:rsidRPr="00DC728B">
        <w:rPr>
          <w:noProof/>
        </w:rPr>
        <w:t>[59]</w:t>
      </w:r>
      <w:r w:rsidRPr="00DC728B">
        <w:rPr>
          <w:noProof/>
        </w:rPr>
        <w:tab/>
        <w:t xml:space="preserve">“Noise Reduction Techniques in Electronic Systems : Ott, Henry W.: Amazon.it: Libri.” </w:t>
      </w:r>
      <w:r w:rsidRPr="009E0C1A">
        <w:rPr>
          <w:noProof/>
          <w:lang w:val="fr-FR"/>
        </w:rPr>
        <w:t xml:space="preserve">[Online]. Available: https://www.amazon.it/Noise-Reduction-Techniques-Electronic-Systems/dp/0471850683. </w:t>
      </w:r>
      <w:r w:rsidRPr="00DC728B">
        <w:rPr>
          <w:noProof/>
        </w:rPr>
        <w:t>[Accessed: 28-Jan-2022].</w:t>
      </w:r>
    </w:p>
    <w:p w14:paraId="3D1B9CD5" w14:textId="77777777" w:rsidR="00821405" w:rsidRPr="00DC728B" w:rsidRDefault="00821405" w:rsidP="00821405">
      <w:pPr>
        <w:widowControl w:val="0"/>
        <w:autoSpaceDE w:val="0"/>
        <w:autoSpaceDN w:val="0"/>
        <w:adjustRightInd w:val="0"/>
        <w:ind w:left="640" w:hanging="640"/>
        <w:rPr>
          <w:noProof/>
        </w:rPr>
      </w:pPr>
      <w:r w:rsidRPr="00DC728B">
        <w:rPr>
          <w:noProof/>
        </w:rPr>
        <w:t>[60]</w:t>
      </w:r>
      <w:r w:rsidRPr="00DC728B">
        <w:rPr>
          <w:noProof/>
        </w:rPr>
        <w:tab/>
        <w:t xml:space="preserve">H. Sequeira, P. Hot, L. Silvert, and S. Delplanque, “Electrical autonomic correlates of emotion,” </w:t>
      </w:r>
      <w:r w:rsidRPr="00DC728B">
        <w:rPr>
          <w:i/>
          <w:iCs/>
          <w:noProof/>
        </w:rPr>
        <w:t>Int. J. Psychophysiol.</w:t>
      </w:r>
      <w:r w:rsidRPr="00DC728B">
        <w:rPr>
          <w:noProof/>
        </w:rPr>
        <w:t>, vol. 71, no. 1, pp. 50–56, Jan. 2009.</w:t>
      </w:r>
    </w:p>
    <w:p w14:paraId="5D0A676C" w14:textId="675C636E" w:rsidR="002C6D9E" w:rsidRDefault="00821405" w:rsidP="00821405">
      <w:pPr>
        <w:pStyle w:val="BodyText"/>
      </w:pPr>
      <w:r>
        <w:fldChar w:fldCharType="end"/>
      </w:r>
    </w:p>
    <w:p w14:paraId="732E74AC" w14:textId="77777777" w:rsidR="004A2CBC" w:rsidRPr="000C67DC" w:rsidRDefault="004A2CBC" w:rsidP="000C67DC">
      <w:pPr>
        <w:pStyle w:val="BodyText"/>
      </w:pPr>
    </w:p>
    <w:sectPr w:rsidR="004A2CBC" w:rsidRPr="000C67DC" w:rsidSect="002059C1">
      <w:headerReference w:type="even" r:id="rId22"/>
      <w:headerReference w:type="default" r:id="rId23"/>
      <w:footerReference w:type="even" r:id="rId24"/>
      <w:footerReference w:type="default" r:id="rId25"/>
      <w:headerReference w:type="first" r:id="rId26"/>
      <w:footerReference w:type="first" r:id="rId27"/>
      <w:pgSz w:w="11906" w:h="16838" w:code="9"/>
      <w:pgMar w:top="1928" w:right="1418" w:bottom="1701" w:left="1418" w:header="709" w:footer="39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7F8EC" w14:textId="77777777" w:rsidR="00FD6F90" w:rsidRDefault="00FD6F90" w:rsidP="008F3187">
      <w:r>
        <w:separator/>
      </w:r>
    </w:p>
    <w:p w14:paraId="1D75660E" w14:textId="77777777" w:rsidR="00FD6F90" w:rsidRDefault="00FD6F90" w:rsidP="008F3187"/>
  </w:endnote>
  <w:endnote w:type="continuationSeparator" w:id="0">
    <w:p w14:paraId="0AE0A57F" w14:textId="77777777" w:rsidR="00FD6F90" w:rsidRDefault="00FD6F90" w:rsidP="008F3187">
      <w:r>
        <w:continuationSeparator/>
      </w:r>
    </w:p>
    <w:p w14:paraId="67399E4D" w14:textId="77777777" w:rsidR="00FD6F90" w:rsidRDefault="00FD6F90" w:rsidP="008F31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iroFont-2-0">
    <w:altName w:val="Cambria"/>
    <w:panose1 w:val="020B06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9"/>
      <w:gridCol w:w="5455"/>
      <w:gridCol w:w="2769"/>
    </w:tblGrid>
    <w:tr w:rsidR="00646B60" w14:paraId="103C92B0" w14:textId="77777777" w:rsidTr="00447F89">
      <w:tc>
        <w:tcPr>
          <w:tcW w:w="499" w:type="dxa"/>
          <w:shd w:val="clear" w:color="auto" w:fill="auto"/>
        </w:tcPr>
        <w:p w14:paraId="24CC7C06" w14:textId="77777777" w:rsidR="00646B60" w:rsidRDefault="00646B60" w:rsidP="00C06116">
          <w:pPr>
            <w:pStyle w:val="Footer"/>
            <w:jc w:val="left"/>
            <w:rPr>
              <w:rStyle w:val="PageNumber"/>
            </w:rPr>
          </w:pPr>
          <w:r>
            <w:rPr>
              <w:rStyle w:val="PageNumber"/>
            </w:rPr>
            <w:fldChar w:fldCharType="begin"/>
          </w:r>
          <w:r>
            <w:rPr>
              <w:rStyle w:val="PageNumber"/>
            </w:rPr>
            <w:instrText xml:space="preserve">PAGE  </w:instrText>
          </w:r>
          <w:r>
            <w:rPr>
              <w:rStyle w:val="PageNumber"/>
            </w:rPr>
            <w:fldChar w:fldCharType="separate"/>
          </w:r>
          <w:r w:rsidR="002059C1">
            <w:rPr>
              <w:rStyle w:val="PageNumber"/>
              <w:noProof/>
            </w:rPr>
            <w:t>2</w:t>
          </w:r>
          <w:r>
            <w:rPr>
              <w:rStyle w:val="PageNumber"/>
            </w:rPr>
            <w:fldChar w:fldCharType="end"/>
          </w:r>
        </w:p>
        <w:p w14:paraId="53BEBB62" w14:textId="77777777" w:rsidR="00646B60" w:rsidRDefault="00646B60" w:rsidP="00C06116">
          <w:pPr>
            <w:pStyle w:val="Footer"/>
            <w:ind w:right="360"/>
            <w:jc w:val="center"/>
          </w:pPr>
        </w:p>
      </w:tc>
      <w:tc>
        <w:tcPr>
          <w:tcW w:w="5455" w:type="dxa"/>
          <w:shd w:val="clear" w:color="auto" w:fill="auto"/>
        </w:tcPr>
        <w:p w14:paraId="57278A33" w14:textId="77777777" w:rsidR="00646B60" w:rsidRDefault="00646B60" w:rsidP="00447F89">
          <w:pPr>
            <w:pStyle w:val="Footer"/>
            <w:ind w:right="360"/>
            <w:jc w:val="left"/>
          </w:pPr>
        </w:p>
      </w:tc>
      <w:tc>
        <w:tcPr>
          <w:tcW w:w="2769" w:type="dxa"/>
          <w:shd w:val="clear" w:color="auto" w:fill="auto"/>
          <w:vAlign w:val="center"/>
        </w:tcPr>
        <w:p w14:paraId="22ED9A13" w14:textId="77777777" w:rsidR="00646B60" w:rsidRDefault="008D1632" w:rsidP="00C06116">
          <w:pPr>
            <w:pStyle w:val="Style1"/>
          </w:pPr>
          <w:r>
            <w:rPr>
              <w:noProof/>
            </w:rPr>
            <w:drawing>
              <wp:inline distT="0" distB="0" distL="0" distR="0" wp14:anchorId="174F262E" wp14:editId="52785ED8">
                <wp:extent cx="971550" cy="54292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a:ln>
                          <a:noFill/>
                        </a:ln>
                      </pic:spPr>
                    </pic:pic>
                  </a:graphicData>
                </a:graphic>
              </wp:inline>
            </w:drawing>
          </w:r>
        </w:p>
      </w:tc>
    </w:tr>
  </w:tbl>
  <w:p w14:paraId="7ED41DDC" w14:textId="77777777" w:rsidR="00646B60" w:rsidRDefault="00646B60" w:rsidP="009E4F7A">
    <w:pPr>
      <w:pStyle w:val="Footer"/>
      <w:ind w:right="360" w:firstLine="360"/>
    </w:pPr>
  </w:p>
  <w:p w14:paraId="2A8A7C68" w14:textId="77777777" w:rsidR="00646B60" w:rsidRDefault="00646B60" w:rsidP="008F31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48" w:type="dxa"/>
      <w:tblInd w:w="-365" w:type="dxa"/>
      <w:tblLayout w:type="fixed"/>
      <w:tblCellMar>
        <w:left w:w="0" w:type="dxa"/>
        <w:right w:w="0" w:type="dxa"/>
      </w:tblCellMar>
      <w:tblLook w:val="04A0" w:firstRow="1" w:lastRow="0" w:firstColumn="1" w:lastColumn="0" w:noHBand="0" w:noVBand="1"/>
    </w:tblPr>
    <w:tblGrid>
      <w:gridCol w:w="2311"/>
      <w:gridCol w:w="4643"/>
      <w:gridCol w:w="3094"/>
    </w:tblGrid>
    <w:tr w:rsidR="00A835EE" w:rsidRPr="00F1465E" w14:paraId="27C85AA4" w14:textId="77777777" w:rsidTr="00F66BC5">
      <w:trPr>
        <w:trHeight w:val="375"/>
      </w:trPr>
      <w:tc>
        <w:tcPr>
          <w:tcW w:w="2311" w:type="dxa"/>
        </w:tcPr>
        <w:p w14:paraId="51747FE3" w14:textId="77777777" w:rsidR="00A835EE" w:rsidRPr="00F1465E" w:rsidRDefault="00A835EE" w:rsidP="00A835EE">
          <w:pPr>
            <w:pStyle w:val="Footer"/>
            <w:jc w:val="both"/>
            <w:rPr>
              <w:sz w:val="22"/>
            </w:rPr>
          </w:pPr>
          <w:r w:rsidRPr="00F1465E">
            <w:rPr>
              <w:sz w:val="22"/>
            </w:rPr>
            <w:t xml:space="preserve">Page I </w:t>
          </w:r>
          <w:r w:rsidRPr="00285F84">
            <w:rPr>
              <w:sz w:val="22"/>
            </w:rPr>
            <w:fldChar w:fldCharType="begin"/>
          </w:r>
          <w:r w:rsidRPr="00285F84">
            <w:rPr>
              <w:sz w:val="22"/>
            </w:rPr>
            <w:instrText xml:space="preserve"> PAGE   \* MERGEFORMAT </w:instrText>
          </w:r>
          <w:r w:rsidRPr="00285F84">
            <w:rPr>
              <w:sz w:val="22"/>
            </w:rPr>
            <w:fldChar w:fldCharType="separate"/>
          </w:r>
          <w:r w:rsidR="0063059A">
            <w:rPr>
              <w:noProof/>
              <w:sz w:val="22"/>
            </w:rPr>
            <w:t>5</w:t>
          </w:r>
          <w:r w:rsidRPr="00285F84">
            <w:rPr>
              <w:noProof/>
              <w:sz w:val="22"/>
            </w:rPr>
            <w:fldChar w:fldCharType="end"/>
          </w:r>
        </w:p>
        <w:p w14:paraId="7D5B0473" w14:textId="77777777" w:rsidR="00A835EE" w:rsidRPr="00F1465E" w:rsidRDefault="00A835EE" w:rsidP="00A835EE">
          <w:pPr>
            <w:pStyle w:val="Footer"/>
            <w:rPr>
              <w:sz w:val="22"/>
            </w:rPr>
          </w:pPr>
        </w:p>
      </w:tc>
      <w:tc>
        <w:tcPr>
          <w:tcW w:w="4643" w:type="dxa"/>
          <w:shd w:val="clear" w:color="auto" w:fill="auto"/>
        </w:tcPr>
        <w:p w14:paraId="27C69994" w14:textId="77777777" w:rsidR="00A835EE" w:rsidRDefault="00A835EE" w:rsidP="00A835EE">
          <w:pPr>
            <w:pStyle w:val="Footer"/>
            <w:jc w:val="center"/>
          </w:pPr>
          <w:r>
            <w:rPr>
              <w:noProof/>
              <w:lang w:eastAsia="en-GB"/>
            </w:rPr>
            <w:drawing>
              <wp:inline distT="0" distB="0" distL="0" distR="0" wp14:anchorId="6EDB5DC8" wp14:editId="70A9AF46">
                <wp:extent cx="1521460" cy="36766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56533"/>
                        <a:stretch/>
                      </pic:blipFill>
                      <pic:spPr bwMode="auto">
                        <a:xfrm>
                          <a:off x="0" y="0"/>
                          <a:ext cx="1521460" cy="367665"/>
                        </a:xfrm>
                        <a:prstGeom prst="rect">
                          <a:avLst/>
                        </a:prstGeom>
                        <a:ln>
                          <a:noFill/>
                        </a:ln>
                        <a:extLst>
                          <a:ext uri="{53640926-AAD7-44D8-BBD7-CCE9431645EC}">
                            <a14:shadowObscured xmlns:a14="http://schemas.microsoft.com/office/drawing/2010/main"/>
                          </a:ext>
                        </a:extLst>
                      </pic:spPr>
                    </pic:pic>
                  </a:graphicData>
                </a:graphic>
              </wp:inline>
            </w:drawing>
          </w:r>
        </w:p>
      </w:tc>
      <w:tc>
        <w:tcPr>
          <w:tcW w:w="3094" w:type="dxa"/>
        </w:tcPr>
        <w:p w14:paraId="08FE8887" w14:textId="77777777" w:rsidR="00A835EE" w:rsidRPr="00C06116" w:rsidRDefault="00A835EE" w:rsidP="00A835EE">
          <w:pPr>
            <w:pStyle w:val="Footer"/>
            <w:rPr>
              <w:szCs w:val="16"/>
            </w:rPr>
          </w:pPr>
          <w:r>
            <w:rPr>
              <w:noProof/>
              <w:lang w:eastAsia="en-GB"/>
            </w:rPr>
            <w:drawing>
              <wp:inline distT="0" distB="0" distL="0" distR="0" wp14:anchorId="38B606BE" wp14:editId="3A2D79AC">
                <wp:extent cx="1679575" cy="3676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cstate="print">
                          <a:extLst>
                            <a:ext uri="{28A0092B-C50C-407E-A947-70E740481C1C}">
                              <a14:useLocalDpi xmlns:a14="http://schemas.microsoft.com/office/drawing/2010/main" val="0"/>
                            </a:ext>
                          </a:extLst>
                        </a:blip>
                        <a:srcRect r="52020"/>
                        <a:stretch/>
                      </pic:blipFill>
                      <pic:spPr bwMode="auto">
                        <a:xfrm>
                          <a:off x="0" y="0"/>
                          <a:ext cx="1679575" cy="3676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C4A16E0" w14:textId="77777777" w:rsidR="00646B60" w:rsidRDefault="00646B60" w:rsidP="00A835EE">
    <w:pPr>
      <w:pStyle w:val="Footer"/>
      <w:ind w:right="360"/>
      <w:jc w:val="both"/>
    </w:pPr>
  </w:p>
  <w:p w14:paraId="515C6C49" w14:textId="77777777" w:rsidR="00646B60" w:rsidRDefault="00646B60" w:rsidP="008F318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48" w:type="dxa"/>
      <w:tblInd w:w="-365" w:type="dxa"/>
      <w:tblLayout w:type="fixed"/>
      <w:tblCellMar>
        <w:left w:w="0" w:type="dxa"/>
        <w:right w:w="0" w:type="dxa"/>
      </w:tblCellMar>
      <w:tblLook w:val="04A0" w:firstRow="1" w:lastRow="0" w:firstColumn="1" w:lastColumn="0" w:noHBand="0" w:noVBand="1"/>
    </w:tblPr>
    <w:tblGrid>
      <w:gridCol w:w="2311"/>
      <w:gridCol w:w="4643"/>
      <w:gridCol w:w="3094"/>
    </w:tblGrid>
    <w:tr w:rsidR="00C40BF0" w:rsidRPr="00F1465E" w14:paraId="35EF25BA" w14:textId="77777777" w:rsidTr="00F66BC5">
      <w:trPr>
        <w:trHeight w:val="375"/>
      </w:trPr>
      <w:tc>
        <w:tcPr>
          <w:tcW w:w="2311" w:type="dxa"/>
        </w:tcPr>
        <w:p w14:paraId="1FF07817" w14:textId="77777777" w:rsidR="00C40BF0" w:rsidRPr="00F1465E" w:rsidRDefault="00C40BF0" w:rsidP="00C40BF0">
          <w:pPr>
            <w:pStyle w:val="Footer"/>
            <w:rPr>
              <w:sz w:val="22"/>
            </w:rPr>
          </w:pPr>
        </w:p>
      </w:tc>
      <w:tc>
        <w:tcPr>
          <w:tcW w:w="4643" w:type="dxa"/>
          <w:shd w:val="clear" w:color="auto" w:fill="auto"/>
        </w:tcPr>
        <w:p w14:paraId="673BC4F3" w14:textId="77777777" w:rsidR="00C40BF0" w:rsidRDefault="00C40BF0" w:rsidP="00C40BF0">
          <w:pPr>
            <w:pStyle w:val="Footer"/>
            <w:jc w:val="center"/>
          </w:pPr>
          <w:r>
            <w:rPr>
              <w:noProof/>
              <w:lang w:eastAsia="en-GB"/>
            </w:rPr>
            <w:drawing>
              <wp:inline distT="0" distB="0" distL="0" distR="0" wp14:anchorId="5B465486" wp14:editId="34258A92">
                <wp:extent cx="1521460" cy="36766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56533"/>
                        <a:stretch/>
                      </pic:blipFill>
                      <pic:spPr bwMode="auto">
                        <a:xfrm>
                          <a:off x="0" y="0"/>
                          <a:ext cx="1521460" cy="367665"/>
                        </a:xfrm>
                        <a:prstGeom prst="rect">
                          <a:avLst/>
                        </a:prstGeom>
                        <a:ln>
                          <a:noFill/>
                        </a:ln>
                        <a:extLst>
                          <a:ext uri="{53640926-AAD7-44D8-BBD7-CCE9431645EC}">
                            <a14:shadowObscured xmlns:a14="http://schemas.microsoft.com/office/drawing/2010/main"/>
                          </a:ext>
                        </a:extLst>
                      </pic:spPr>
                    </pic:pic>
                  </a:graphicData>
                </a:graphic>
              </wp:inline>
            </w:drawing>
          </w:r>
        </w:p>
      </w:tc>
      <w:tc>
        <w:tcPr>
          <w:tcW w:w="3094" w:type="dxa"/>
        </w:tcPr>
        <w:p w14:paraId="7AFF79C3" w14:textId="77777777" w:rsidR="00C40BF0" w:rsidRPr="00C06116" w:rsidRDefault="00C40BF0" w:rsidP="00C40BF0">
          <w:pPr>
            <w:pStyle w:val="Footer"/>
            <w:rPr>
              <w:szCs w:val="16"/>
            </w:rPr>
          </w:pPr>
          <w:r>
            <w:rPr>
              <w:noProof/>
              <w:lang w:eastAsia="en-GB"/>
            </w:rPr>
            <w:drawing>
              <wp:inline distT="0" distB="0" distL="0" distR="0" wp14:anchorId="1F41E07A" wp14:editId="3D4D6F34">
                <wp:extent cx="1679575" cy="3676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cstate="print">
                          <a:extLst>
                            <a:ext uri="{28A0092B-C50C-407E-A947-70E740481C1C}">
                              <a14:useLocalDpi xmlns:a14="http://schemas.microsoft.com/office/drawing/2010/main" val="0"/>
                            </a:ext>
                          </a:extLst>
                        </a:blip>
                        <a:srcRect r="52020"/>
                        <a:stretch/>
                      </pic:blipFill>
                      <pic:spPr bwMode="auto">
                        <a:xfrm>
                          <a:off x="0" y="0"/>
                          <a:ext cx="1679575" cy="3676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2871C06" w14:textId="77777777" w:rsidR="00C40BF0" w:rsidRDefault="00C40BF0" w:rsidP="00C40BF0">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EB01C" w14:textId="77777777" w:rsidR="00FD6F90" w:rsidRDefault="00FD6F90" w:rsidP="008F3187">
      <w:r>
        <w:separator/>
      </w:r>
    </w:p>
    <w:p w14:paraId="6236FC9C" w14:textId="77777777" w:rsidR="00FD6F90" w:rsidRDefault="00FD6F90" w:rsidP="008F3187"/>
  </w:footnote>
  <w:footnote w:type="continuationSeparator" w:id="0">
    <w:p w14:paraId="127EF15C" w14:textId="77777777" w:rsidR="00FD6F90" w:rsidRDefault="00FD6F90" w:rsidP="008F3187">
      <w:r>
        <w:continuationSeparator/>
      </w:r>
    </w:p>
    <w:p w14:paraId="2AFE015B" w14:textId="77777777" w:rsidR="00FD6F90" w:rsidRDefault="00FD6F90" w:rsidP="008F31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9070"/>
    </w:tblGrid>
    <w:tr w:rsidR="00646B60" w:rsidRPr="00B466D3" w14:paraId="24E1F710" w14:textId="77777777" w:rsidTr="00B466D3">
      <w:trPr>
        <w:trHeight w:hRule="exact" w:val="992"/>
      </w:trPr>
      <w:tc>
        <w:tcPr>
          <w:tcW w:w="9286" w:type="dxa"/>
          <w:shd w:val="clear" w:color="auto" w:fill="auto"/>
        </w:tcPr>
        <w:p w14:paraId="74561148" w14:textId="77777777" w:rsidR="00646B60" w:rsidRPr="00FA12F6" w:rsidRDefault="00646B60" w:rsidP="00DD1591">
          <w:pPr>
            <w:pStyle w:val="PageHeader"/>
          </w:pPr>
          <w:r w:rsidRPr="00FA12F6">
            <w:t xml:space="preserve">Edition </w:t>
          </w:r>
          <w:r w:rsidR="00FD6F90">
            <w:fldChar w:fldCharType="begin"/>
          </w:r>
          <w:r w:rsidR="00FD6F90">
            <w:instrText xml:space="preserve"> STYLEREF  SJUEditionStyle  \* MERGEFORMAT </w:instrText>
          </w:r>
          <w:r w:rsidR="00FD6F90">
            <w:fldChar w:fldCharType="separate"/>
          </w:r>
          <w:r w:rsidR="008D1632">
            <w:rPr>
              <w:noProof/>
            </w:rPr>
            <w:t>[xx.xx.xx]</w:t>
          </w:r>
          <w:r w:rsidR="00FD6F90">
            <w:rPr>
              <w:noProof/>
            </w:rPr>
            <w:fldChar w:fldCharType="end"/>
          </w:r>
        </w:p>
      </w:tc>
    </w:tr>
  </w:tbl>
  <w:p w14:paraId="0BCFD6B1" w14:textId="77777777" w:rsidR="00646B60" w:rsidRDefault="00646B60" w:rsidP="003812F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751" w:type="dxa"/>
      <w:tblCellMar>
        <w:left w:w="0" w:type="dxa"/>
        <w:right w:w="0" w:type="dxa"/>
      </w:tblCellMar>
      <w:tblLook w:val="04A0" w:firstRow="1" w:lastRow="0" w:firstColumn="1" w:lastColumn="0" w:noHBand="0" w:noVBand="1"/>
    </w:tblPr>
    <w:tblGrid>
      <w:gridCol w:w="6521"/>
      <w:gridCol w:w="1134"/>
      <w:gridCol w:w="5096"/>
    </w:tblGrid>
    <w:tr w:rsidR="00646B60" w14:paraId="54A4E86A" w14:textId="77777777" w:rsidTr="00A300AE">
      <w:trPr>
        <w:trHeight w:val="992"/>
      </w:trPr>
      <w:tc>
        <w:tcPr>
          <w:tcW w:w="6521" w:type="dxa"/>
          <w:shd w:val="clear" w:color="auto" w:fill="auto"/>
        </w:tcPr>
        <w:p w14:paraId="29C0197A" w14:textId="223E1DF5" w:rsidR="00A300AE" w:rsidRDefault="00095DBD" w:rsidP="00550585">
          <w:pPr>
            <w:pStyle w:val="PageHeader"/>
            <w:jc w:val="left"/>
            <w:rPr>
              <w:noProof/>
            </w:rPr>
          </w:pPr>
          <w:r w:rsidRPr="00A300AE">
            <w:rPr>
              <w:noProof/>
              <w:highlight w:val="yellow"/>
            </w:rPr>
            <w:drawing>
              <wp:anchor distT="0" distB="0" distL="114300" distR="114300" simplePos="0" relativeHeight="251661312" behindDoc="0" locked="0" layoutInCell="1" hidden="0" allowOverlap="1" wp14:anchorId="6C3456C8" wp14:editId="1D42F7C5">
                <wp:simplePos x="0" y="0"/>
                <wp:positionH relativeFrom="column">
                  <wp:posOffset>2790092</wp:posOffset>
                </wp:positionH>
                <wp:positionV relativeFrom="paragraph">
                  <wp:posOffset>252388</wp:posOffset>
                </wp:positionV>
                <wp:extent cx="1912620" cy="311785"/>
                <wp:effectExtent l="0" t="0" r="0" b="0"/>
                <wp:wrapNone/>
                <wp:docPr id="19" name="image10.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57" name="image10.jpg" descr="A picture containing text, clipart&#10;&#10;Description automatically generated"/>
                        <pic:cNvPicPr preferRelativeResize="0"/>
                      </pic:nvPicPr>
                      <pic:blipFill>
                        <a:blip r:embed="rId1"/>
                        <a:srcRect t="18750"/>
                        <a:stretch>
                          <a:fillRect/>
                        </a:stretch>
                      </pic:blipFill>
                      <pic:spPr>
                        <a:xfrm>
                          <a:off x="0" y="0"/>
                          <a:ext cx="1912620" cy="311785"/>
                        </a:xfrm>
                        <a:prstGeom prst="rect">
                          <a:avLst/>
                        </a:prstGeom>
                        <a:ln/>
                      </pic:spPr>
                    </pic:pic>
                  </a:graphicData>
                </a:graphic>
              </wp:anchor>
            </w:drawing>
          </w:r>
          <w:r w:rsidR="0006406C" w:rsidRPr="0006406C">
            <w:rPr>
              <w:noProof/>
            </w:rPr>
            <w:t>D4.1 NEUROPHYSIOLOGICAL MEASURES RELATED TO SPECIFIC MENTAL AND</w:t>
          </w:r>
          <w:r w:rsidR="0006406C">
            <w:rPr>
              <w:noProof/>
            </w:rPr>
            <w:t xml:space="preserve"> </w:t>
          </w:r>
          <w:r w:rsidR="0006406C" w:rsidRPr="0006406C">
            <w:rPr>
              <w:noProof/>
            </w:rPr>
            <w:t>EMOTIONAL STATES</w:t>
          </w:r>
        </w:p>
      </w:tc>
      <w:tc>
        <w:tcPr>
          <w:tcW w:w="1134" w:type="dxa"/>
          <w:shd w:val="clear" w:color="auto" w:fill="FFFFFF"/>
        </w:tcPr>
        <w:p w14:paraId="499E3789" w14:textId="42B7C5A0" w:rsidR="00646B60" w:rsidRDefault="00646B60" w:rsidP="00A4536A">
          <w:pPr>
            <w:pStyle w:val="Header"/>
            <w:jc w:val="center"/>
            <w:rPr>
              <w:b w:val="0"/>
              <w:i/>
              <w:noProof/>
              <w:color w:val="auto"/>
              <w:sz w:val="18"/>
              <w:szCs w:val="18"/>
            </w:rPr>
          </w:pPr>
        </w:p>
        <w:p w14:paraId="55C550EB" w14:textId="46A5A6D1" w:rsidR="00646B60" w:rsidRPr="00A4536A" w:rsidRDefault="00646B60" w:rsidP="00A4536A">
          <w:pPr>
            <w:pStyle w:val="Header"/>
            <w:jc w:val="center"/>
            <w:rPr>
              <w:b w:val="0"/>
              <w:i/>
              <w:noProof/>
              <w:color w:val="auto"/>
              <w:sz w:val="18"/>
              <w:szCs w:val="18"/>
            </w:rPr>
          </w:pPr>
        </w:p>
      </w:tc>
      <w:tc>
        <w:tcPr>
          <w:tcW w:w="5096" w:type="dxa"/>
          <w:shd w:val="clear" w:color="auto" w:fill="auto"/>
        </w:tcPr>
        <w:p w14:paraId="0DBE3286" w14:textId="2DD56658" w:rsidR="00646B60" w:rsidRDefault="004C0F02" w:rsidP="008F3187">
          <w:pPr>
            <w:pStyle w:val="Header"/>
          </w:pPr>
          <w:r>
            <w:rPr>
              <w:noProof/>
              <w:lang w:eastAsia="en-GB"/>
            </w:rPr>
            <w:drawing>
              <wp:inline distT="0" distB="0" distL="0" distR="0" wp14:anchorId="5341F0B8" wp14:editId="0BB9308D">
                <wp:extent cx="1224944" cy="563044"/>
                <wp:effectExtent l="0" t="0" r="0" b="8890"/>
                <wp:docPr id="10" name="Picture 10" descr="40CDAD56">
                  <a:hlinkClick xmlns:a="http://schemas.openxmlformats.org/drawingml/2006/main" r:id="rId2" tgtFrame="_blank"/>
                </wp:docPr>
                <wp:cNvGraphicFramePr/>
                <a:graphic xmlns:a="http://schemas.openxmlformats.org/drawingml/2006/main">
                  <a:graphicData uri="http://schemas.openxmlformats.org/drawingml/2006/picture">
                    <pic:pic xmlns:pic="http://schemas.openxmlformats.org/drawingml/2006/picture">
                      <pic:nvPicPr>
                        <pic:cNvPr id="1" name="Picture 1" descr="40CDAD56">
                          <a:hlinkClick r:id="rId2" tgtFrame="_blank"/>
                        </pic:cNvPr>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93817" cy="594701"/>
                        </a:xfrm>
                        <a:prstGeom prst="rect">
                          <a:avLst/>
                        </a:prstGeom>
                        <a:noFill/>
                        <a:ln>
                          <a:noFill/>
                        </a:ln>
                      </pic:spPr>
                    </pic:pic>
                  </a:graphicData>
                </a:graphic>
              </wp:inline>
            </w:drawing>
          </w:r>
          <w:r w:rsidR="00646B60">
            <w:t xml:space="preserve"> </w:t>
          </w:r>
        </w:p>
      </w:tc>
    </w:tr>
  </w:tbl>
  <w:p w14:paraId="55750B04" w14:textId="177F329E" w:rsidR="00646B60" w:rsidRPr="00550585" w:rsidRDefault="00646B60" w:rsidP="003812F3">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0B993" w14:textId="6EA0E02F" w:rsidR="00C40BF0" w:rsidRDefault="00C40BF0">
    <w:pPr>
      <w:pStyle w:val="Header"/>
    </w:pPr>
  </w:p>
  <w:p w14:paraId="72BC19FC" w14:textId="2CC559AB" w:rsidR="004C0F02" w:rsidRDefault="001930B5" w:rsidP="00C40BF0">
    <w:pPr>
      <w:pStyle w:val="Header"/>
      <w:jc w:val="right"/>
    </w:pPr>
    <w:r>
      <w:rPr>
        <w:noProof/>
      </w:rPr>
      <w:drawing>
        <wp:anchor distT="0" distB="0" distL="114300" distR="114300" simplePos="0" relativeHeight="251659264" behindDoc="0" locked="0" layoutInCell="1" hidden="0" allowOverlap="1" wp14:anchorId="14E02610" wp14:editId="60AAD525">
          <wp:simplePos x="0" y="0"/>
          <wp:positionH relativeFrom="column">
            <wp:posOffset>1997015</wp:posOffset>
          </wp:positionH>
          <wp:positionV relativeFrom="paragraph">
            <wp:posOffset>312983</wp:posOffset>
          </wp:positionV>
          <wp:extent cx="1912620" cy="311785"/>
          <wp:effectExtent l="0" t="0" r="0" b="0"/>
          <wp:wrapNone/>
          <wp:docPr id="157" name="image10.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57" name="image10.jpg" descr="A picture containing text, clipart&#10;&#10;Description automatically generated"/>
                  <pic:cNvPicPr preferRelativeResize="0"/>
                </pic:nvPicPr>
                <pic:blipFill>
                  <a:blip r:embed="rId1"/>
                  <a:srcRect t="18750"/>
                  <a:stretch>
                    <a:fillRect/>
                  </a:stretch>
                </pic:blipFill>
                <pic:spPr>
                  <a:xfrm>
                    <a:off x="0" y="0"/>
                    <a:ext cx="1912620" cy="311785"/>
                  </a:xfrm>
                  <a:prstGeom prst="rect">
                    <a:avLst/>
                  </a:prstGeom>
                  <a:ln/>
                </pic:spPr>
              </pic:pic>
            </a:graphicData>
          </a:graphic>
        </wp:anchor>
      </w:drawing>
    </w:r>
    <w:r w:rsidR="00C40BF0">
      <w:rPr>
        <w:noProof/>
        <w:lang w:eastAsia="en-GB"/>
      </w:rPr>
      <w:drawing>
        <wp:inline distT="0" distB="0" distL="0" distR="0" wp14:anchorId="7DA17C5E" wp14:editId="372D2DE4">
          <wp:extent cx="1697990" cy="777875"/>
          <wp:effectExtent l="0" t="0" r="0" b="0"/>
          <wp:docPr id="13" name="Picture 13" descr="C:\Users\tkeaveney\AppData\Local\Microsoft\Windows\INetCache\Content.Word\SESARJU_Logo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keaveney\AppData\Local\Microsoft\Windows\INetCache\Content.Word\SESARJU_Logo_Colo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7990" cy="7778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51E8C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52A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0E3CD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77E60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39AF6E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9B275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C9C54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7077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12EF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B7C36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735A1B"/>
    <w:multiLevelType w:val="hybridMultilevel"/>
    <w:tmpl w:val="ACD038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21D5071"/>
    <w:multiLevelType w:val="multilevel"/>
    <w:tmpl w:val="33F24A36"/>
    <w:lvl w:ilvl="0">
      <w:start w:val="1"/>
      <w:numFmt w:val="decimal"/>
      <w:lvlText w:val="%1"/>
      <w:lvlJc w:val="left"/>
      <w:pPr>
        <w:ind w:left="432" w:hanging="432"/>
      </w:pPr>
      <w:rPr>
        <w:rFonts w:hint="default"/>
      </w:rPr>
    </w:lvl>
    <w:lvl w:ilvl="1">
      <w:start w:val="1"/>
      <w:numFmt w:val="decimal"/>
      <w:lvlText w:val="%1.%2"/>
      <w:lvlJc w:val="left"/>
      <w:pPr>
        <w:tabs>
          <w:tab w:val="num" w:pos="284"/>
        </w:tabs>
        <w:ind w:left="284" w:hanging="2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025B120F"/>
    <w:multiLevelType w:val="hybridMultilevel"/>
    <w:tmpl w:val="CE64551A"/>
    <w:lvl w:ilvl="0" w:tplc="AD96EE24">
      <w:start w:val="1"/>
      <w:numFmt w:val="bullet"/>
      <w:pStyle w:val="ListParagraph"/>
      <w:lvlText w:val=""/>
      <w:lvlJc w:val="left"/>
      <w:pPr>
        <w:ind w:left="720" w:hanging="360"/>
      </w:pPr>
      <w:rPr>
        <w:rFonts w:ascii="Symbol" w:hAnsi="Symbol" w:hint="default"/>
      </w:rPr>
    </w:lvl>
    <w:lvl w:ilvl="1" w:tplc="3C7A5E1C">
      <w:start w:val="1"/>
      <w:numFmt w:val="bullet"/>
      <w:pStyle w:val="Listlevel2"/>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1B1BCC"/>
    <w:multiLevelType w:val="hybridMultilevel"/>
    <w:tmpl w:val="491AE4B8"/>
    <w:lvl w:ilvl="0" w:tplc="3A36902A">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B236ACB"/>
    <w:multiLevelType w:val="hybridMultilevel"/>
    <w:tmpl w:val="0F52FD54"/>
    <w:lvl w:ilvl="0" w:tplc="2902BA50">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0D552267"/>
    <w:multiLevelType w:val="hybridMultilevel"/>
    <w:tmpl w:val="E51294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0E795B00"/>
    <w:multiLevelType w:val="hybridMultilevel"/>
    <w:tmpl w:val="9682711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1460560E"/>
    <w:multiLevelType w:val="hybridMultilevel"/>
    <w:tmpl w:val="F4F02A3E"/>
    <w:lvl w:ilvl="0" w:tplc="EDF0A2D0">
      <w:start w:val="1"/>
      <w:numFmt w:val="decimal"/>
      <w:pStyle w:val="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4AB24E1"/>
    <w:multiLevelType w:val="hybridMultilevel"/>
    <w:tmpl w:val="F894C67E"/>
    <w:lvl w:ilvl="0" w:tplc="54EC47FC">
      <w:start w:val="1"/>
      <w:numFmt w:val="bullet"/>
      <w:pStyle w:val="GuidanceBullet2"/>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1EB5433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3CB619B"/>
    <w:multiLevelType w:val="hybridMultilevel"/>
    <w:tmpl w:val="58788A4A"/>
    <w:lvl w:ilvl="0" w:tplc="9F9EE9CE">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15:restartNumberingAfterBreak="0">
    <w:nsid w:val="281F5E09"/>
    <w:multiLevelType w:val="multilevel"/>
    <w:tmpl w:val="B7F01D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D460B1D"/>
    <w:multiLevelType w:val="multilevel"/>
    <w:tmpl w:val="869A4A0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3" w15:restartNumberingAfterBreak="0">
    <w:nsid w:val="30FA145F"/>
    <w:multiLevelType w:val="hybridMultilevel"/>
    <w:tmpl w:val="81D8A0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8DD382B"/>
    <w:multiLevelType w:val="multilevel"/>
    <w:tmpl w:val="82706A46"/>
    <w:lvl w:ilvl="0">
      <w:start w:val="1"/>
      <w:numFmt w:val="decimal"/>
      <w:lvlText w:val="%1."/>
      <w:lvlJc w:val="left"/>
      <w:pPr>
        <w:tabs>
          <w:tab w:val="num" w:pos="284"/>
        </w:tabs>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B6D7833"/>
    <w:multiLevelType w:val="hybridMultilevel"/>
    <w:tmpl w:val="029C9BF2"/>
    <w:lvl w:ilvl="0" w:tplc="54A81510">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D551F6E"/>
    <w:multiLevelType w:val="hybridMultilevel"/>
    <w:tmpl w:val="08A4D906"/>
    <w:lvl w:ilvl="0" w:tplc="08090001">
      <w:start w:val="1"/>
      <w:numFmt w:val="bullet"/>
      <w:lvlText w:val=""/>
      <w:lvlJc w:val="left"/>
      <w:pPr>
        <w:ind w:left="1174" w:hanging="360"/>
      </w:pPr>
      <w:rPr>
        <w:rFonts w:ascii="Symbol" w:hAnsi="Symbol" w:hint="default"/>
      </w:rPr>
    </w:lvl>
    <w:lvl w:ilvl="1" w:tplc="08090003">
      <w:start w:val="1"/>
      <w:numFmt w:val="bullet"/>
      <w:lvlText w:val="o"/>
      <w:lvlJc w:val="left"/>
      <w:pPr>
        <w:ind w:left="1894" w:hanging="360"/>
      </w:pPr>
      <w:rPr>
        <w:rFonts w:ascii="Courier New" w:hAnsi="Courier New" w:cs="Courier New" w:hint="default"/>
      </w:rPr>
    </w:lvl>
    <w:lvl w:ilvl="2" w:tplc="08090005">
      <w:start w:val="1"/>
      <w:numFmt w:val="bullet"/>
      <w:lvlText w:val=""/>
      <w:lvlJc w:val="left"/>
      <w:pPr>
        <w:ind w:left="2614" w:hanging="360"/>
      </w:pPr>
      <w:rPr>
        <w:rFonts w:ascii="Wingdings" w:hAnsi="Wingdings" w:hint="default"/>
      </w:rPr>
    </w:lvl>
    <w:lvl w:ilvl="3" w:tplc="08090001">
      <w:start w:val="1"/>
      <w:numFmt w:val="bullet"/>
      <w:lvlText w:val=""/>
      <w:lvlJc w:val="left"/>
      <w:pPr>
        <w:ind w:left="3334" w:hanging="360"/>
      </w:pPr>
      <w:rPr>
        <w:rFonts w:ascii="Symbol" w:hAnsi="Symbol" w:hint="default"/>
      </w:rPr>
    </w:lvl>
    <w:lvl w:ilvl="4" w:tplc="08090003">
      <w:start w:val="1"/>
      <w:numFmt w:val="bullet"/>
      <w:lvlText w:val="o"/>
      <w:lvlJc w:val="left"/>
      <w:pPr>
        <w:ind w:left="4054" w:hanging="360"/>
      </w:pPr>
      <w:rPr>
        <w:rFonts w:ascii="Courier New" w:hAnsi="Courier New" w:cs="Courier New" w:hint="default"/>
      </w:rPr>
    </w:lvl>
    <w:lvl w:ilvl="5" w:tplc="08090005">
      <w:start w:val="1"/>
      <w:numFmt w:val="bullet"/>
      <w:lvlText w:val=""/>
      <w:lvlJc w:val="left"/>
      <w:pPr>
        <w:ind w:left="4774" w:hanging="360"/>
      </w:pPr>
      <w:rPr>
        <w:rFonts w:ascii="Wingdings" w:hAnsi="Wingdings" w:hint="default"/>
      </w:rPr>
    </w:lvl>
    <w:lvl w:ilvl="6" w:tplc="08090001">
      <w:start w:val="1"/>
      <w:numFmt w:val="bullet"/>
      <w:lvlText w:val=""/>
      <w:lvlJc w:val="left"/>
      <w:pPr>
        <w:ind w:left="5494" w:hanging="360"/>
      </w:pPr>
      <w:rPr>
        <w:rFonts w:ascii="Symbol" w:hAnsi="Symbol" w:hint="default"/>
      </w:rPr>
    </w:lvl>
    <w:lvl w:ilvl="7" w:tplc="08090003">
      <w:start w:val="1"/>
      <w:numFmt w:val="bullet"/>
      <w:lvlText w:val="o"/>
      <w:lvlJc w:val="left"/>
      <w:pPr>
        <w:ind w:left="6214" w:hanging="360"/>
      </w:pPr>
      <w:rPr>
        <w:rFonts w:ascii="Courier New" w:hAnsi="Courier New" w:cs="Courier New" w:hint="default"/>
      </w:rPr>
    </w:lvl>
    <w:lvl w:ilvl="8" w:tplc="08090005">
      <w:start w:val="1"/>
      <w:numFmt w:val="bullet"/>
      <w:lvlText w:val=""/>
      <w:lvlJc w:val="left"/>
      <w:pPr>
        <w:ind w:left="6934" w:hanging="360"/>
      </w:pPr>
      <w:rPr>
        <w:rFonts w:ascii="Wingdings" w:hAnsi="Wingdings" w:hint="default"/>
      </w:rPr>
    </w:lvl>
  </w:abstractNum>
  <w:abstractNum w:abstractNumId="27" w15:restartNumberingAfterBreak="0">
    <w:nsid w:val="3E410FB0"/>
    <w:multiLevelType w:val="hybridMultilevel"/>
    <w:tmpl w:val="D11231D2"/>
    <w:lvl w:ilvl="0" w:tplc="02D87AA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BF4B75"/>
    <w:multiLevelType w:val="multilevel"/>
    <w:tmpl w:val="9BD48A32"/>
    <w:lvl w:ilvl="0">
      <w:start w:val="1"/>
      <w:numFmt w:val="decimal"/>
      <w:lvlText w:val="%1"/>
      <w:lvlJc w:val="left"/>
      <w:pPr>
        <w:ind w:left="432" w:hanging="432"/>
      </w:pPr>
      <w:rPr>
        <w:rFonts w:hint="default"/>
      </w:rPr>
    </w:lvl>
    <w:lvl w:ilvl="1">
      <w:start w:val="1"/>
      <w:numFmt w:val="decimal"/>
      <w:lvlText w:val="%1.%2"/>
      <w:lvlJc w:val="left"/>
      <w:pPr>
        <w:tabs>
          <w:tab w:val="num" w:pos="284"/>
        </w:tabs>
        <w:ind w:left="284" w:hanging="2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4DDD61A7"/>
    <w:multiLevelType w:val="hybridMultilevel"/>
    <w:tmpl w:val="2D5A3150"/>
    <w:lvl w:ilvl="0" w:tplc="1DC6ABA4">
      <w:start w:val="1"/>
      <w:numFmt w:val="upperLetter"/>
      <w:lvlText w:val="Appendix %1"/>
      <w:lvlJc w:val="left"/>
      <w:pPr>
        <w:ind w:left="720" w:hanging="360"/>
      </w:pPr>
    </w:lvl>
    <w:lvl w:ilvl="1" w:tplc="2CBCA93E">
      <w:start w:val="1"/>
      <w:numFmt w:val="lowerLetter"/>
      <w:lvlText w:val="%2."/>
      <w:lvlJc w:val="left"/>
      <w:pPr>
        <w:ind w:left="1440" w:hanging="360"/>
      </w:pPr>
    </w:lvl>
    <w:lvl w:ilvl="2" w:tplc="21C4D37E">
      <w:start w:val="1"/>
      <w:numFmt w:val="lowerRoman"/>
      <w:lvlText w:val="%3."/>
      <w:lvlJc w:val="right"/>
      <w:pPr>
        <w:ind w:left="2160" w:hanging="180"/>
      </w:pPr>
    </w:lvl>
    <w:lvl w:ilvl="3" w:tplc="19BED670">
      <w:start w:val="1"/>
      <w:numFmt w:val="decimal"/>
      <w:lvlText w:val="%4."/>
      <w:lvlJc w:val="left"/>
      <w:pPr>
        <w:ind w:left="2880" w:hanging="360"/>
      </w:pPr>
    </w:lvl>
    <w:lvl w:ilvl="4" w:tplc="3B50FB0A">
      <w:start w:val="1"/>
      <w:numFmt w:val="lowerLetter"/>
      <w:lvlText w:val="%5."/>
      <w:lvlJc w:val="left"/>
      <w:pPr>
        <w:ind w:left="3600" w:hanging="360"/>
      </w:pPr>
    </w:lvl>
    <w:lvl w:ilvl="5" w:tplc="4DCE6084">
      <w:start w:val="1"/>
      <w:numFmt w:val="lowerRoman"/>
      <w:lvlText w:val="%6."/>
      <w:lvlJc w:val="right"/>
      <w:pPr>
        <w:ind w:left="4320" w:hanging="180"/>
      </w:pPr>
    </w:lvl>
    <w:lvl w:ilvl="6" w:tplc="3B9631E0">
      <w:start w:val="1"/>
      <w:numFmt w:val="decimal"/>
      <w:lvlText w:val="%7."/>
      <w:lvlJc w:val="left"/>
      <w:pPr>
        <w:ind w:left="5040" w:hanging="360"/>
      </w:pPr>
    </w:lvl>
    <w:lvl w:ilvl="7" w:tplc="CAFEE650">
      <w:start w:val="1"/>
      <w:numFmt w:val="lowerLetter"/>
      <w:lvlText w:val="%8."/>
      <w:lvlJc w:val="left"/>
      <w:pPr>
        <w:ind w:left="5760" w:hanging="360"/>
      </w:pPr>
    </w:lvl>
    <w:lvl w:ilvl="8" w:tplc="157CBACA">
      <w:start w:val="1"/>
      <w:numFmt w:val="lowerRoman"/>
      <w:lvlText w:val="%9."/>
      <w:lvlJc w:val="right"/>
      <w:pPr>
        <w:ind w:left="6480" w:hanging="180"/>
      </w:pPr>
    </w:lvl>
  </w:abstractNum>
  <w:abstractNum w:abstractNumId="30" w15:restartNumberingAfterBreak="0">
    <w:nsid w:val="4EA54B97"/>
    <w:multiLevelType w:val="hybridMultilevel"/>
    <w:tmpl w:val="529EDB1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6D9012C"/>
    <w:multiLevelType w:val="multilevel"/>
    <w:tmpl w:val="83B07E04"/>
    <w:lvl w:ilvl="0">
      <w:start w:val="1"/>
      <w:numFmt w:val="bullet"/>
      <w:pStyle w:val="GuidanceBullet"/>
      <w:lvlText w:val=""/>
      <w:lvlJc w:val="left"/>
      <w:pPr>
        <w:tabs>
          <w:tab w:val="num" w:pos="1080"/>
        </w:tabs>
        <w:ind w:left="1080" w:hanging="360"/>
      </w:pPr>
      <w:rPr>
        <w:rFonts w:ascii="Symbol" w:hAnsi="Symbol" w:hint="default"/>
      </w:rPr>
    </w:lvl>
    <w:lvl w:ilvl="1">
      <w:start w:val="1"/>
      <w:numFmt w:val="decimal"/>
      <w:lvlText w:val="%2."/>
      <w:lvlJc w:val="left"/>
      <w:pPr>
        <w:tabs>
          <w:tab w:val="num" w:pos="1800"/>
        </w:tabs>
        <w:ind w:left="1800" w:hanging="360"/>
      </w:pPr>
      <w:rPr>
        <w:rFonts w:ascii="Arial" w:hAnsi="Arial"/>
        <w:i/>
        <w:iCs/>
        <w:color w:val="333399"/>
        <w:sz w:val="18"/>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D7D3E68"/>
    <w:multiLevelType w:val="hybridMultilevel"/>
    <w:tmpl w:val="32B21FAC"/>
    <w:lvl w:ilvl="0" w:tplc="50040C66">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43178C0"/>
    <w:multiLevelType w:val="hybridMultilevel"/>
    <w:tmpl w:val="9F5E7DF0"/>
    <w:lvl w:ilvl="0" w:tplc="0809000F">
      <w:start w:val="1"/>
      <w:numFmt w:val="decimal"/>
      <w:lvlText w:val="%1."/>
      <w:lvlJc w:val="left"/>
      <w:pPr>
        <w:ind w:left="1440" w:hanging="360"/>
      </w:pPr>
    </w:lvl>
    <w:lvl w:ilvl="1" w:tplc="08090003">
      <w:start w:val="1"/>
      <w:numFmt w:val="bullet"/>
      <w:lvlText w:val="o"/>
      <w:lvlJc w:val="left"/>
      <w:pPr>
        <w:ind w:left="2160" w:hanging="360"/>
      </w:pPr>
      <w:rPr>
        <w:rFonts w:ascii="Courier New" w:hAnsi="Courier New" w:cs="Times New Roman"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Times New Roman"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Times New Roman" w:hint="default"/>
      </w:rPr>
    </w:lvl>
    <w:lvl w:ilvl="8" w:tplc="08090005">
      <w:start w:val="1"/>
      <w:numFmt w:val="bullet"/>
      <w:lvlText w:val=""/>
      <w:lvlJc w:val="left"/>
      <w:pPr>
        <w:ind w:left="7200" w:hanging="360"/>
      </w:pPr>
      <w:rPr>
        <w:rFonts w:ascii="Wingdings" w:hAnsi="Wingdings" w:hint="default"/>
      </w:rPr>
    </w:lvl>
  </w:abstractNum>
  <w:abstractNum w:abstractNumId="34" w15:restartNumberingAfterBreak="0">
    <w:nsid w:val="654F5C23"/>
    <w:multiLevelType w:val="hybridMultilevel"/>
    <w:tmpl w:val="F2486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812422"/>
    <w:multiLevelType w:val="multilevel"/>
    <w:tmpl w:val="02B64C8C"/>
    <w:lvl w:ilvl="0">
      <w:start w:val="1"/>
      <w:numFmt w:val="decimal"/>
      <w:lvlText w:val="%1"/>
      <w:lvlJc w:val="left"/>
      <w:pPr>
        <w:ind w:left="432" w:hanging="432"/>
      </w:pPr>
      <w:rPr>
        <w:rFonts w:hint="default"/>
      </w:rPr>
    </w:lvl>
    <w:lvl w:ilvl="1">
      <w:start w:val="1"/>
      <w:numFmt w:val="decimal"/>
      <w:lvlText w:val="%1.%2"/>
      <w:lvlJc w:val="left"/>
      <w:pPr>
        <w:tabs>
          <w:tab w:val="num" w:pos="284"/>
        </w:tabs>
        <w:ind w:left="284" w:hanging="284"/>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6A04612E"/>
    <w:multiLevelType w:val="multilevel"/>
    <w:tmpl w:val="E7BA7E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C9D131A"/>
    <w:multiLevelType w:val="hybridMultilevel"/>
    <w:tmpl w:val="ED22E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0075F9"/>
    <w:multiLevelType w:val="multilevel"/>
    <w:tmpl w:val="467C5AE0"/>
    <w:lvl w:ilvl="0">
      <w:numFmt w:val="bullet"/>
      <w:lvlText w:val="-"/>
      <w:lvlJc w:val="left"/>
      <w:pPr>
        <w:ind w:left="432" w:hanging="432"/>
      </w:pPr>
      <w:rPr>
        <w:rFonts w:ascii="Calibri" w:eastAsiaTheme="minorHAnsi" w:hAnsi="Calibri" w:cs="Calibri" w:hint="default"/>
        <w:b/>
        <w:i w:val="0"/>
        <w:sz w:val="24"/>
      </w:rPr>
    </w:lvl>
    <w:lvl w:ilvl="1">
      <w:numFmt w:val="bullet"/>
      <w:lvlText w:val="-"/>
      <w:lvlJc w:val="left"/>
      <w:pPr>
        <w:ind w:left="576" w:hanging="576"/>
      </w:pPr>
      <w:rPr>
        <w:rFonts w:ascii="Calibri" w:eastAsiaTheme="minorHAnsi" w:hAnsi="Calibri" w:cs="Calibri"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6D885170"/>
    <w:multiLevelType w:val="hybridMultilevel"/>
    <w:tmpl w:val="15C43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9E4AB0"/>
    <w:multiLevelType w:val="hybridMultilevel"/>
    <w:tmpl w:val="1AC69EC4"/>
    <w:lvl w:ilvl="0" w:tplc="54A81510">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1" w15:restartNumberingAfterBreak="0">
    <w:nsid w:val="70CB62E7"/>
    <w:multiLevelType w:val="hybridMultilevel"/>
    <w:tmpl w:val="EF74DE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7472F84"/>
    <w:multiLevelType w:val="hybridMultilevel"/>
    <w:tmpl w:val="0C3A703C"/>
    <w:lvl w:ilvl="0" w:tplc="04100001">
      <w:start w:val="1"/>
      <w:numFmt w:val="bullet"/>
      <w:lvlText w:val=""/>
      <w:lvlJc w:val="left"/>
      <w:pPr>
        <w:ind w:left="1174" w:hanging="360"/>
      </w:pPr>
      <w:rPr>
        <w:rFonts w:ascii="Symbol" w:hAnsi="Symbol" w:hint="default"/>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43" w15:restartNumberingAfterBreak="0">
    <w:nsid w:val="7CE40B98"/>
    <w:multiLevelType w:val="multilevel"/>
    <w:tmpl w:val="2C92372A"/>
    <w:lvl w:ilvl="0">
      <w:start w:val="1"/>
      <w:numFmt w:val="upperLetter"/>
      <w:pStyle w:val="AppendixHeading1"/>
      <w:lvlText w:val="Appendix %1"/>
      <w:lvlJc w:val="left"/>
      <w:pPr>
        <w:ind w:left="357" w:hanging="357"/>
      </w:pPr>
      <w:rPr>
        <w:rFonts w:hint="default"/>
      </w:rPr>
    </w:lvl>
    <w:lvl w:ilvl="1">
      <w:start w:val="1"/>
      <w:numFmt w:val="decimal"/>
      <w:pStyle w:val="AppendixHeading2"/>
      <w:lvlText w:val="%1.%2"/>
      <w:lvlJc w:val="left"/>
      <w:pPr>
        <w:ind w:left="578" w:hanging="578"/>
      </w:pPr>
      <w:rPr>
        <w:rFonts w:hint="default"/>
      </w:rPr>
    </w:lvl>
    <w:lvl w:ilvl="2">
      <w:start w:val="1"/>
      <w:numFmt w:val="decimal"/>
      <w:pStyle w:val="AppendixHeading3"/>
      <w:lvlText w:val="%1.%2.%3"/>
      <w:lvlJc w:val="left"/>
      <w:pPr>
        <w:ind w:left="72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61522208">
    <w:abstractNumId w:val="12"/>
  </w:num>
  <w:num w:numId="2" w16cid:durableId="1877309774">
    <w:abstractNumId w:val="19"/>
  </w:num>
  <w:num w:numId="3" w16cid:durableId="1245186928">
    <w:abstractNumId w:val="11"/>
  </w:num>
  <w:num w:numId="4" w16cid:durableId="869564001">
    <w:abstractNumId w:val="24"/>
  </w:num>
  <w:num w:numId="5" w16cid:durableId="310015556">
    <w:abstractNumId w:val="28"/>
  </w:num>
  <w:num w:numId="6" w16cid:durableId="328482580">
    <w:abstractNumId w:val="35"/>
  </w:num>
  <w:num w:numId="7" w16cid:durableId="243881088">
    <w:abstractNumId w:val="43"/>
  </w:num>
  <w:num w:numId="8" w16cid:durableId="1556890215">
    <w:abstractNumId w:val="32"/>
  </w:num>
  <w:num w:numId="9" w16cid:durableId="1983460594">
    <w:abstractNumId w:val="9"/>
  </w:num>
  <w:num w:numId="10" w16cid:durableId="312953960">
    <w:abstractNumId w:val="7"/>
  </w:num>
  <w:num w:numId="11" w16cid:durableId="1813405880">
    <w:abstractNumId w:val="6"/>
  </w:num>
  <w:num w:numId="12" w16cid:durableId="26953891">
    <w:abstractNumId w:val="5"/>
  </w:num>
  <w:num w:numId="13" w16cid:durableId="1088305294">
    <w:abstractNumId w:val="4"/>
  </w:num>
  <w:num w:numId="14" w16cid:durableId="162746473">
    <w:abstractNumId w:val="8"/>
  </w:num>
  <w:num w:numId="15" w16cid:durableId="1030955491">
    <w:abstractNumId w:val="3"/>
  </w:num>
  <w:num w:numId="16" w16cid:durableId="1732071509">
    <w:abstractNumId w:val="2"/>
  </w:num>
  <w:num w:numId="17" w16cid:durableId="2032876408">
    <w:abstractNumId w:val="1"/>
  </w:num>
  <w:num w:numId="18" w16cid:durableId="906382852">
    <w:abstractNumId w:val="0"/>
  </w:num>
  <w:num w:numId="19" w16cid:durableId="1225411145">
    <w:abstractNumId w:val="43"/>
  </w:num>
  <w:num w:numId="20" w16cid:durableId="1522696033">
    <w:abstractNumId w:val="22"/>
  </w:num>
  <w:num w:numId="21" w16cid:durableId="1015159295">
    <w:abstractNumId w:val="22"/>
  </w:num>
  <w:num w:numId="22" w16cid:durableId="1702583039">
    <w:abstractNumId w:val="22"/>
  </w:num>
  <w:num w:numId="23" w16cid:durableId="979463102">
    <w:abstractNumId w:val="17"/>
  </w:num>
  <w:num w:numId="24" w16cid:durableId="363754774">
    <w:abstractNumId w:val="18"/>
  </w:num>
  <w:num w:numId="25" w16cid:durableId="1209952384">
    <w:abstractNumId w:val="31"/>
  </w:num>
  <w:num w:numId="26" w16cid:durableId="157035775">
    <w:abstractNumId w:val="17"/>
    <w:lvlOverride w:ilvl="0">
      <w:startOverride w:val="1"/>
    </w:lvlOverride>
  </w:num>
  <w:num w:numId="27" w16cid:durableId="1918129708">
    <w:abstractNumId w:val="33"/>
    <w:lvlOverride w:ilvl="0">
      <w:startOverride w:val="1"/>
    </w:lvlOverride>
    <w:lvlOverride w:ilvl="1"/>
    <w:lvlOverride w:ilvl="2"/>
    <w:lvlOverride w:ilvl="3"/>
    <w:lvlOverride w:ilvl="4"/>
    <w:lvlOverride w:ilvl="5"/>
    <w:lvlOverride w:ilvl="6"/>
    <w:lvlOverride w:ilvl="7"/>
    <w:lvlOverride w:ilvl="8"/>
  </w:num>
  <w:num w:numId="28" w16cid:durableId="166161666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49351053">
    <w:abstractNumId w:val="16"/>
  </w:num>
  <w:num w:numId="30" w16cid:durableId="1775830373">
    <w:abstractNumId w:val="22"/>
    <w:lvlOverride w:ilvl="0">
      <w:startOverride w:val="1"/>
    </w:lvlOverride>
    <w:lvlOverride w:ilvl="1">
      <w:startOverride w:val="2"/>
    </w:lvlOverride>
    <w:lvlOverride w:ilvl="2">
      <w:startOverride w:val="4"/>
    </w:lvlOverride>
  </w:num>
  <w:num w:numId="31" w16cid:durableId="728303501">
    <w:abstractNumId w:val="38"/>
  </w:num>
  <w:num w:numId="32" w16cid:durableId="1722511024">
    <w:abstractNumId w:val="14"/>
  </w:num>
  <w:num w:numId="33" w16cid:durableId="778179704">
    <w:abstractNumId w:val="40"/>
  </w:num>
  <w:num w:numId="34" w16cid:durableId="1844513771">
    <w:abstractNumId w:val="25"/>
  </w:num>
  <w:num w:numId="35" w16cid:durableId="1975595556">
    <w:abstractNumId w:val="37"/>
  </w:num>
  <w:num w:numId="36" w16cid:durableId="1505902073">
    <w:abstractNumId w:val="27"/>
  </w:num>
  <w:num w:numId="37" w16cid:durableId="1230460495">
    <w:abstractNumId w:val="30"/>
  </w:num>
  <w:num w:numId="38" w16cid:durableId="1294795956">
    <w:abstractNumId w:val="21"/>
  </w:num>
  <w:num w:numId="39" w16cid:durableId="416295448">
    <w:abstractNumId w:val="39"/>
  </w:num>
  <w:num w:numId="40" w16cid:durableId="317613918">
    <w:abstractNumId w:val="23"/>
  </w:num>
  <w:num w:numId="41" w16cid:durableId="1428387116">
    <w:abstractNumId w:val="15"/>
  </w:num>
  <w:num w:numId="42" w16cid:durableId="1598444416">
    <w:abstractNumId w:val="41"/>
  </w:num>
  <w:num w:numId="43" w16cid:durableId="416904859">
    <w:abstractNumId w:val="10"/>
  </w:num>
  <w:num w:numId="44" w16cid:durableId="1497380228">
    <w:abstractNumId w:val="20"/>
  </w:num>
  <w:num w:numId="45" w16cid:durableId="1411002997">
    <w:abstractNumId w:val="13"/>
  </w:num>
  <w:num w:numId="46" w16cid:durableId="1937981642">
    <w:abstractNumId w:val="42"/>
  </w:num>
  <w:num w:numId="47" w16cid:durableId="1020473367">
    <w:abstractNumId w:val="26"/>
  </w:num>
  <w:num w:numId="48" w16cid:durableId="710611200">
    <w:abstractNumId w:val="34"/>
  </w:num>
  <w:num w:numId="49" w16cid:durableId="1578704516">
    <w:abstractNumId w:val="36"/>
  </w:num>
  <w:num w:numId="50" w16cid:durableId="2015187367">
    <w:abstractNumId w:val="2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7"/>
  <w:activeWritingStyle w:appName="MSWord" w:lang="es-ES_tradnl"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it-IT" w:vendorID="64" w:dllVersion="0" w:nlCheck="1" w:checkStyle="0"/>
  <w:activeWritingStyle w:appName="MSWord" w:lang="sv-SE" w:vendorID="64" w:dllVersion="0" w:nlCheck="1" w:checkStyle="0"/>
  <w:attachedTemplate r:id="rId1"/>
  <w:stylePaneFormatFilter w:val="1204" w:allStyles="0" w:customStyles="0" w:latentStyles="1" w:stylesInUse="0" w:headingStyles="0" w:numberingStyles="0" w:tableStyles="0" w:directFormattingOnRuns="0" w:directFormattingOnParagraphs="1" w:directFormattingOnNumbering="0" w:directFormattingOnTables="0" w:clearFormatting="1" w:top3HeadingStyles="0" w:visibleStyles="0" w:alternateStyleNames="0"/>
  <w:styleLockTheme/>
  <w:defaultTabStop w:val="720"/>
  <w:hyphenationZone w:val="283"/>
  <w:clickAndTypeStyle w:val="BodyText"/>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632"/>
    <w:rsid w:val="000208B0"/>
    <w:rsid w:val="00026998"/>
    <w:rsid w:val="00034D1D"/>
    <w:rsid w:val="0006406C"/>
    <w:rsid w:val="00076E0C"/>
    <w:rsid w:val="00082FE6"/>
    <w:rsid w:val="00095DBD"/>
    <w:rsid w:val="0009768B"/>
    <w:rsid w:val="000A281C"/>
    <w:rsid w:val="000C1F88"/>
    <w:rsid w:val="000C67DC"/>
    <w:rsid w:val="000E1404"/>
    <w:rsid w:val="000E64BD"/>
    <w:rsid w:val="000E6E45"/>
    <w:rsid w:val="000F2F0C"/>
    <w:rsid w:val="000F58AC"/>
    <w:rsid w:val="000F7CBB"/>
    <w:rsid w:val="001052BD"/>
    <w:rsid w:val="00115C65"/>
    <w:rsid w:val="00125334"/>
    <w:rsid w:val="001254FA"/>
    <w:rsid w:val="00141886"/>
    <w:rsid w:val="0014322C"/>
    <w:rsid w:val="00143813"/>
    <w:rsid w:val="00151C55"/>
    <w:rsid w:val="0015376C"/>
    <w:rsid w:val="00160894"/>
    <w:rsid w:val="00162546"/>
    <w:rsid w:val="00164809"/>
    <w:rsid w:val="00172D0A"/>
    <w:rsid w:val="00172D17"/>
    <w:rsid w:val="00173AF0"/>
    <w:rsid w:val="00180F5A"/>
    <w:rsid w:val="0018632D"/>
    <w:rsid w:val="00192F6A"/>
    <w:rsid w:val="001930B5"/>
    <w:rsid w:val="001969B8"/>
    <w:rsid w:val="001C04D6"/>
    <w:rsid w:val="001C7543"/>
    <w:rsid w:val="001D787F"/>
    <w:rsid w:val="001F599B"/>
    <w:rsid w:val="002059C1"/>
    <w:rsid w:val="00236DE9"/>
    <w:rsid w:val="00253AA4"/>
    <w:rsid w:val="002759B0"/>
    <w:rsid w:val="002820AF"/>
    <w:rsid w:val="002B4CFD"/>
    <w:rsid w:val="002C69CC"/>
    <w:rsid w:val="002C6D9E"/>
    <w:rsid w:val="002D6AE9"/>
    <w:rsid w:val="002F7EEA"/>
    <w:rsid w:val="00302C98"/>
    <w:rsid w:val="0031076C"/>
    <w:rsid w:val="00315A7A"/>
    <w:rsid w:val="003356C8"/>
    <w:rsid w:val="00360C08"/>
    <w:rsid w:val="003719C8"/>
    <w:rsid w:val="00375B70"/>
    <w:rsid w:val="003760FB"/>
    <w:rsid w:val="00376966"/>
    <w:rsid w:val="00377265"/>
    <w:rsid w:val="003812F3"/>
    <w:rsid w:val="003819C0"/>
    <w:rsid w:val="00382241"/>
    <w:rsid w:val="003A24FA"/>
    <w:rsid w:val="003A37A2"/>
    <w:rsid w:val="003B2912"/>
    <w:rsid w:val="003C794E"/>
    <w:rsid w:val="003D1B2F"/>
    <w:rsid w:val="003F5D73"/>
    <w:rsid w:val="003F60EB"/>
    <w:rsid w:val="00413108"/>
    <w:rsid w:val="00413D83"/>
    <w:rsid w:val="004215CF"/>
    <w:rsid w:val="0043102F"/>
    <w:rsid w:val="00442B3E"/>
    <w:rsid w:val="004432B5"/>
    <w:rsid w:val="00447F89"/>
    <w:rsid w:val="00452A62"/>
    <w:rsid w:val="004547F4"/>
    <w:rsid w:val="004722DD"/>
    <w:rsid w:val="00476F23"/>
    <w:rsid w:val="00477F83"/>
    <w:rsid w:val="00480325"/>
    <w:rsid w:val="00481215"/>
    <w:rsid w:val="00481F44"/>
    <w:rsid w:val="00485100"/>
    <w:rsid w:val="004A2CBC"/>
    <w:rsid w:val="004A54C1"/>
    <w:rsid w:val="004B0676"/>
    <w:rsid w:val="004B0DED"/>
    <w:rsid w:val="004C0F02"/>
    <w:rsid w:val="004C4262"/>
    <w:rsid w:val="004D4890"/>
    <w:rsid w:val="004D6CC8"/>
    <w:rsid w:val="004D7519"/>
    <w:rsid w:val="004E29A9"/>
    <w:rsid w:val="004F138A"/>
    <w:rsid w:val="00510C03"/>
    <w:rsid w:val="005244B6"/>
    <w:rsid w:val="00525A2C"/>
    <w:rsid w:val="00536C36"/>
    <w:rsid w:val="00543237"/>
    <w:rsid w:val="00550585"/>
    <w:rsid w:val="005732D3"/>
    <w:rsid w:val="005A44D2"/>
    <w:rsid w:val="005B70C5"/>
    <w:rsid w:val="005D1154"/>
    <w:rsid w:val="005E6E54"/>
    <w:rsid w:val="005F3CE6"/>
    <w:rsid w:val="006006D0"/>
    <w:rsid w:val="00600F69"/>
    <w:rsid w:val="0061239D"/>
    <w:rsid w:val="0063059A"/>
    <w:rsid w:val="00632184"/>
    <w:rsid w:val="00641EDF"/>
    <w:rsid w:val="0064221B"/>
    <w:rsid w:val="00642F0A"/>
    <w:rsid w:val="00646B60"/>
    <w:rsid w:val="006532C2"/>
    <w:rsid w:val="00654908"/>
    <w:rsid w:val="00656C77"/>
    <w:rsid w:val="00671759"/>
    <w:rsid w:val="006808CD"/>
    <w:rsid w:val="00683D9E"/>
    <w:rsid w:val="00684346"/>
    <w:rsid w:val="006844CF"/>
    <w:rsid w:val="0068524D"/>
    <w:rsid w:val="006871B3"/>
    <w:rsid w:val="006940AC"/>
    <w:rsid w:val="006A1D8A"/>
    <w:rsid w:val="006B5388"/>
    <w:rsid w:val="006C2554"/>
    <w:rsid w:val="006C5725"/>
    <w:rsid w:val="006F2A98"/>
    <w:rsid w:val="006F370D"/>
    <w:rsid w:val="006F4ED8"/>
    <w:rsid w:val="00714C0A"/>
    <w:rsid w:val="007151BF"/>
    <w:rsid w:val="007151D3"/>
    <w:rsid w:val="00716C32"/>
    <w:rsid w:val="0071754F"/>
    <w:rsid w:val="007307BE"/>
    <w:rsid w:val="00761025"/>
    <w:rsid w:val="00762F91"/>
    <w:rsid w:val="00770FFF"/>
    <w:rsid w:val="007A1736"/>
    <w:rsid w:val="007B2F0F"/>
    <w:rsid w:val="007B57EA"/>
    <w:rsid w:val="007C4D0D"/>
    <w:rsid w:val="007C7AC4"/>
    <w:rsid w:val="007D15EC"/>
    <w:rsid w:val="007D6A7E"/>
    <w:rsid w:val="008016F6"/>
    <w:rsid w:val="00804429"/>
    <w:rsid w:val="0081198D"/>
    <w:rsid w:val="00821405"/>
    <w:rsid w:val="00823F8C"/>
    <w:rsid w:val="00860290"/>
    <w:rsid w:val="008655F1"/>
    <w:rsid w:val="0089749D"/>
    <w:rsid w:val="008A19CA"/>
    <w:rsid w:val="008C067C"/>
    <w:rsid w:val="008C1409"/>
    <w:rsid w:val="008D1632"/>
    <w:rsid w:val="008E10ED"/>
    <w:rsid w:val="008F3187"/>
    <w:rsid w:val="008F6E5D"/>
    <w:rsid w:val="009169F7"/>
    <w:rsid w:val="0091779D"/>
    <w:rsid w:val="00921BE3"/>
    <w:rsid w:val="009225CB"/>
    <w:rsid w:val="00940942"/>
    <w:rsid w:val="00943A07"/>
    <w:rsid w:val="009562F5"/>
    <w:rsid w:val="0096030D"/>
    <w:rsid w:val="0096038A"/>
    <w:rsid w:val="009620D9"/>
    <w:rsid w:val="009621F5"/>
    <w:rsid w:val="00967419"/>
    <w:rsid w:val="009843FD"/>
    <w:rsid w:val="009859ED"/>
    <w:rsid w:val="009B3038"/>
    <w:rsid w:val="009B324D"/>
    <w:rsid w:val="009B5C3D"/>
    <w:rsid w:val="009D6EF3"/>
    <w:rsid w:val="009E0C1A"/>
    <w:rsid w:val="009E4F7A"/>
    <w:rsid w:val="009F7155"/>
    <w:rsid w:val="00A0330B"/>
    <w:rsid w:val="00A14408"/>
    <w:rsid w:val="00A206C5"/>
    <w:rsid w:val="00A300AE"/>
    <w:rsid w:val="00A4045F"/>
    <w:rsid w:val="00A4414E"/>
    <w:rsid w:val="00A4536A"/>
    <w:rsid w:val="00A5288C"/>
    <w:rsid w:val="00A557FD"/>
    <w:rsid w:val="00A7043B"/>
    <w:rsid w:val="00A72E05"/>
    <w:rsid w:val="00A81F85"/>
    <w:rsid w:val="00A835EE"/>
    <w:rsid w:val="00A8728E"/>
    <w:rsid w:val="00A9124A"/>
    <w:rsid w:val="00AA4242"/>
    <w:rsid w:val="00AA58C8"/>
    <w:rsid w:val="00AB5733"/>
    <w:rsid w:val="00AB69A5"/>
    <w:rsid w:val="00AD7197"/>
    <w:rsid w:val="00AE4324"/>
    <w:rsid w:val="00AF174C"/>
    <w:rsid w:val="00AF6BC6"/>
    <w:rsid w:val="00B1550D"/>
    <w:rsid w:val="00B26E4E"/>
    <w:rsid w:val="00B274CA"/>
    <w:rsid w:val="00B3111C"/>
    <w:rsid w:val="00B36576"/>
    <w:rsid w:val="00B4029E"/>
    <w:rsid w:val="00B466D3"/>
    <w:rsid w:val="00B72EA3"/>
    <w:rsid w:val="00B7435F"/>
    <w:rsid w:val="00B87A54"/>
    <w:rsid w:val="00B930B5"/>
    <w:rsid w:val="00BA1190"/>
    <w:rsid w:val="00BA232D"/>
    <w:rsid w:val="00BC5247"/>
    <w:rsid w:val="00BD02E8"/>
    <w:rsid w:val="00C02359"/>
    <w:rsid w:val="00C06116"/>
    <w:rsid w:val="00C105BE"/>
    <w:rsid w:val="00C207AA"/>
    <w:rsid w:val="00C25418"/>
    <w:rsid w:val="00C40BF0"/>
    <w:rsid w:val="00C43E85"/>
    <w:rsid w:val="00C443B9"/>
    <w:rsid w:val="00C50542"/>
    <w:rsid w:val="00C5163B"/>
    <w:rsid w:val="00C72517"/>
    <w:rsid w:val="00C864EF"/>
    <w:rsid w:val="00C963CB"/>
    <w:rsid w:val="00C96622"/>
    <w:rsid w:val="00CA36B7"/>
    <w:rsid w:val="00CE6D2D"/>
    <w:rsid w:val="00CF3C60"/>
    <w:rsid w:val="00D07580"/>
    <w:rsid w:val="00D10BAD"/>
    <w:rsid w:val="00D3200E"/>
    <w:rsid w:val="00D32F06"/>
    <w:rsid w:val="00D67BE7"/>
    <w:rsid w:val="00D75B14"/>
    <w:rsid w:val="00D86925"/>
    <w:rsid w:val="00DA331E"/>
    <w:rsid w:val="00DB3C81"/>
    <w:rsid w:val="00DB7CBD"/>
    <w:rsid w:val="00DC0AE2"/>
    <w:rsid w:val="00DC1998"/>
    <w:rsid w:val="00DD1591"/>
    <w:rsid w:val="00DD5C08"/>
    <w:rsid w:val="00DE0B35"/>
    <w:rsid w:val="00DE1C82"/>
    <w:rsid w:val="00DE4984"/>
    <w:rsid w:val="00DE5F43"/>
    <w:rsid w:val="00DF2F9C"/>
    <w:rsid w:val="00E01512"/>
    <w:rsid w:val="00E0421A"/>
    <w:rsid w:val="00E10D39"/>
    <w:rsid w:val="00E120D6"/>
    <w:rsid w:val="00E1248D"/>
    <w:rsid w:val="00E17630"/>
    <w:rsid w:val="00E217CB"/>
    <w:rsid w:val="00E2402E"/>
    <w:rsid w:val="00E306EC"/>
    <w:rsid w:val="00E30845"/>
    <w:rsid w:val="00E55BC4"/>
    <w:rsid w:val="00E62F53"/>
    <w:rsid w:val="00E65804"/>
    <w:rsid w:val="00E8635F"/>
    <w:rsid w:val="00E902B5"/>
    <w:rsid w:val="00E91517"/>
    <w:rsid w:val="00E96E71"/>
    <w:rsid w:val="00EA1225"/>
    <w:rsid w:val="00EB0635"/>
    <w:rsid w:val="00EB452C"/>
    <w:rsid w:val="00ED2C26"/>
    <w:rsid w:val="00ED5064"/>
    <w:rsid w:val="00ED6A88"/>
    <w:rsid w:val="00ED7CAA"/>
    <w:rsid w:val="00EE63FD"/>
    <w:rsid w:val="00F16E9F"/>
    <w:rsid w:val="00F2139F"/>
    <w:rsid w:val="00F400F5"/>
    <w:rsid w:val="00F41413"/>
    <w:rsid w:val="00F42379"/>
    <w:rsid w:val="00F50650"/>
    <w:rsid w:val="00F56E59"/>
    <w:rsid w:val="00F644C8"/>
    <w:rsid w:val="00F71EE1"/>
    <w:rsid w:val="00F76B72"/>
    <w:rsid w:val="00F76F48"/>
    <w:rsid w:val="00F84031"/>
    <w:rsid w:val="00F850C4"/>
    <w:rsid w:val="00F854BE"/>
    <w:rsid w:val="00F87E40"/>
    <w:rsid w:val="00F92119"/>
    <w:rsid w:val="00F96793"/>
    <w:rsid w:val="00F97979"/>
    <w:rsid w:val="00FA0245"/>
    <w:rsid w:val="00FA12F6"/>
    <w:rsid w:val="00FA5CFE"/>
    <w:rsid w:val="00FB0770"/>
    <w:rsid w:val="00FB141A"/>
    <w:rsid w:val="00FB25A2"/>
    <w:rsid w:val="00FB4BAF"/>
    <w:rsid w:val="00FB758B"/>
    <w:rsid w:val="00FD0EC2"/>
    <w:rsid w:val="00FD5E6A"/>
    <w:rsid w:val="00FD6F90"/>
    <w:rsid w:val="00FE7B81"/>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2F911F"/>
  <w14:defaultImageDpi w14:val="150"/>
  <w15:docId w15:val="{FB55207B-B58D-46DC-857E-B36B6A990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5"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9" w:qFormat="1"/>
    <w:lsdException w:name="Intense Quote" w:uiPriority="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0" w:qFormat="1"/>
    <w:lsdException w:name="Intense Emphasis" w:uiPriority="5" w:qFormat="1"/>
    <w:lsdException w:name="Subtle Reference" w:uiPriority="9" w:qFormat="1"/>
    <w:lsdException w:name="Intense Reference" w:semiHidden="1" w:uiPriority="9"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
    <w:semiHidden/>
    <w:qFormat/>
    <w:rsid w:val="00671759"/>
    <w:pPr>
      <w:spacing w:after="200"/>
      <w:jc w:val="both"/>
    </w:pPr>
    <w:rPr>
      <w:color w:val="59666D"/>
      <w:sz w:val="22"/>
      <w:szCs w:val="22"/>
      <w:lang w:val="en-GB"/>
    </w:rPr>
  </w:style>
  <w:style w:type="paragraph" w:styleId="Heading1">
    <w:name w:val="heading 1"/>
    <w:basedOn w:val="Normal"/>
    <w:next w:val="BodyText"/>
    <w:link w:val="Heading1Char"/>
    <w:uiPriority w:val="2"/>
    <w:qFormat/>
    <w:rsid w:val="00B4029E"/>
    <w:pPr>
      <w:keepNext/>
      <w:keepLines/>
      <w:pageBreakBefore/>
      <w:numPr>
        <w:numId w:val="22"/>
      </w:numPr>
      <w:pBdr>
        <w:bottom w:val="single" w:sz="4" w:space="1" w:color="4E88C7"/>
      </w:pBdr>
      <w:spacing w:after="320"/>
      <w:ind w:left="431" w:hanging="431"/>
      <w:jc w:val="left"/>
      <w:outlineLvl w:val="0"/>
    </w:pPr>
    <w:rPr>
      <w:rFonts w:eastAsia="MS PGothic"/>
      <w:b/>
      <w:bCs/>
      <w:color w:val="4C4C4C"/>
      <w:sz w:val="48"/>
      <w:szCs w:val="32"/>
    </w:rPr>
  </w:style>
  <w:style w:type="paragraph" w:styleId="Heading2">
    <w:name w:val="heading 2"/>
    <w:basedOn w:val="Normal"/>
    <w:next w:val="BodyText"/>
    <w:link w:val="Heading2Char"/>
    <w:uiPriority w:val="2"/>
    <w:qFormat/>
    <w:rsid w:val="005A44D2"/>
    <w:pPr>
      <w:numPr>
        <w:ilvl w:val="1"/>
        <w:numId w:val="22"/>
      </w:numPr>
      <w:spacing w:before="240" w:after="240"/>
      <w:outlineLvl w:val="1"/>
    </w:pPr>
    <w:rPr>
      <w:b/>
      <w:sz w:val="32"/>
    </w:rPr>
  </w:style>
  <w:style w:type="paragraph" w:styleId="Heading3">
    <w:name w:val="heading 3"/>
    <w:basedOn w:val="Normal"/>
    <w:next w:val="BodyText"/>
    <w:link w:val="Heading3Char"/>
    <w:uiPriority w:val="2"/>
    <w:qFormat/>
    <w:rsid w:val="005A44D2"/>
    <w:pPr>
      <w:numPr>
        <w:ilvl w:val="2"/>
        <w:numId w:val="22"/>
      </w:numPr>
      <w:spacing w:before="240" w:after="240"/>
      <w:jc w:val="left"/>
      <w:outlineLvl w:val="2"/>
    </w:pPr>
    <w:rPr>
      <w:rFonts w:eastAsia="MS PGothic"/>
      <w:b/>
      <w:bCs/>
      <w:color w:val="4C4C4C"/>
      <w:sz w:val="28"/>
    </w:rPr>
  </w:style>
  <w:style w:type="paragraph" w:styleId="Heading4">
    <w:name w:val="heading 4"/>
    <w:basedOn w:val="Normal"/>
    <w:next w:val="BodyText"/>
    <w:link w:val="Heading4Char"/>
    <w:uiPriority w:val="2"/>
    <w:qFormat/>
    <w:rsid w:val="00E2402E"/>
    <w:pPr>
      <w:keepNext/>
      <w:numPr>
        <w:ilvl w:val="3"/>
        <w:numId w:val="22"/>
      </w:numPr>
      <w:spacing w:before="240" w:after="60"/>
      <w:jc w:val="left"/>
      <w:outlineLvl w:val="3"/>
    </w:pPr>
    <w:rPr>
      <w:rFonts w:eastAsia="Times New Roman"/>
      <w:b/>
      <w:bCs/>
      <w:color w:val="4C4C4C"/>
      <w:sz w:val="26"/>
      <w:szCs w:val="28"/>
      <w:lang w:eastAsia="en-GB"/>
    </w:rPr>
  </w:style>
  <w:style w:type="paragraph" w:styleId="Heading5">
    <w:name w:val="heading 5"/>
    <w:basedOn w:val="Normal"/>
    <w:next w:val="BodyText"/>
    <w:link w:val="Heading5Char"/>
    <w:uiPriority w:val="2"/>
    <w:qFormat/>
    <w:rsid w:val="00E2402E"/>
    <w:pPr>
      <w:numPr>
        <w:ilvl w:val="4"/>
        <w:numId w:val="22"/>
      </w:numPr>
      <w:spacing w:before="240" w:after="60"/>
      <w:jc w:val="left"/>
      <w:outlineLvl w:val="4"/>
    </w:pPr>
    <w:rPr>
      <w:rFonts w:eastAsia="Times New Roman"/>
      <w:b/>
      <w:bCs/>
      <w:iCs/>
      <w:color w:val="4C4C4C"/>
      <w:sz w:val="24"/>
      <w:szCs w:val="26"/>
      <w:lang w:eastAsia="en-GB"/>
    </w:rPr>
  </w:style>
  <w:style w:type="paragraph" w:styleId="Heading6">
    <w:name w:val="heading 6"/>
    <w:basedOn w:val="Normal"/>
    <w:next w:val="BodyText"/>
    <w:link w:val="Heading6Char"/>
    <w:uiPriority w:val="2"/>
    <w:qFormat/>
    <w:rsid w:val="00E2402E"/>
    <w:pPr>
      <w:numPr>
        <w:ilvl w:val="5"/>
        <w:numId w:val="22"/>
      </w:numPr>
      <w:spacing w:before="240" w:after="60"/>
      <w:jc w:val="left"/>
      <w:outlineLvl w:val="5"/>
    </w:pPr>
    <w:rPr>
      <w:rFonts w:eastAsia="Times New Roman"/>
      <w:b/>
      <w:bCs/>
      <w:color w:val="4C4C4C"/>
      <w:lang w:eastAsia="en-GB"/>
    </w:rPr>
  </w:style>
  <w:style w:type="paragraph" w:styleId="Heading7">
    <w:name w:val="heading 7"/>
    <w:basedOn w:val="Normal"/>
    <w:next w:val="Normal"/>
    <w:link w:val="Heading7Char"/>
    <w:uiPriority w:val="9"/>
    <w:semiHidden/>
    <w:unhideWhenUsed/>
    <w:rsid w:val="00656C77"/>
    <w:pPr>
      <w:keepNext/>
      <w:keepLines/>
      <w:numPr>
        <w:ilvl w:val="6"/>
        <w:numId w:val="22"/>
      </w:numPr>
      <w:spacing w:before="200" w:after="0"/>
      <w:outlineLvl w:val="6"/>
    </w:pPr>
    <w:rPr>
      <w:rFonts w:eastAsia="MS PGothic"/>
      <w:i/>
      <w:iCs/>
      <w:color w:val="787878"/>
    </w:rPr>
  </w:style>
  <w:style w:type="paragraph" w:styleId="Heading8">
    <w:name w:val="heading 8"/>
    <w:basedOn w:val="Normal"/>
    <w:next w:val="Normal"/>
    <w:link w:val="Heading8Char"/>
    <w:uiPriority w:val="9"/>
    <w:semiHidden/>
    <w:unhideWhenUsed/>
    <w:rsid w:val="00656C77"/>
    <w:pPr>
      <w:keepNext/>
      <w:keepLines/>
      <w:numPr>
        <w:ilvl w:val="7"/>
        <w:numId w:val="22"/>
      </w:numPr>
      <w:spacing w:before="200" w:after="0"/>
      <w:outlineLvl w:val="7"/>
    </w:pPr>
    <w:rPr>
      <w:rFonts w:eastAsia="MS PGothic"/>
      <w:color w:val="787878"/>
      <w:sz w:val="20"/>
      <w:szCs w:val="20"/>
    </w:rPr>
  </w:style>
  <w:style w:type="paragraph" w:styleId="Heading9">
    <w:name w:val="heading 9"/>
    <w:basedOn w:val="Normal"/>
    <w:next w:val="Normal"/>
    <w:link w:val="Heading9Char"/>
    <w:uiPriority w:val="9"/>
    <w:semiHidden/>
    <w:unhideWhenUsed/>
    <w:rsid w:val="00656C77"/>
    <w:pPr>
      <w:keepNext/>
      <w:keepLines/>
      <w:numPr>
        <w:ilvl w:val="8"/>
        <w:numId w:val="22"/>
      </w:numPr>
      <w:spacing w:before="200" w:after="0"/>
      <w:outlineLvl w:val="8"/>
    </w:pPr>
    <w:rPr>
      <w:rFonts w:eastAsia="MS PGothic"/>
      <w:i/>
      <w:iCs/>
      <w:color w:val="78787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E96E71"/>
    <w:pPr>
      <w:pBdr>
        <w:bottom w:val="single" w:sz="8" w:space="4" w:color="4E88C7"/>
      </w:pBdr>
      <w:spacing w:after="300"/>
      <w:contextualSpacing/>
    </w:pPr>
    <w:rPr>
      <w:rFonts w:eastAsia="MS PGothic"/>
      <w:color w:val="32659D"/>
      <w:spacing w:val="5"/>
      <w:kern w:val="28"/>
      <w:sz w:val="52"/>
      <w:szCs w:val="52"/>
      <w:lang w:val="en-US" w:eastAsia="ja-JP"/>
    </w:rPr>
  </w:style>
  <w:style w:type="character" w:customStyle="1" w:styleId="TitleChar">
    <w:name w:val="Title Char"/>
    <w:link w:val="Title"/>
    <w:uiPriority w:val="10"/>
    <w:rsid w:val="00E96E71"/>
    <w:rPr>
      <w:rFonts w:ascii="Calibri" w:eastAsia="MS PGothic" w:hAnsi="Calibri" w:cs="Times New Roman"/>
      <w:color w:val="32659D"/>
      <w:spacing w:val="5"/>
      <w:kern w:val="28"/>
      <w:sz w:val="52"/>
      <w:szCs w:val="52"/>
      <w:lang w:val="en-US" w:eastAsia="ja-JP"/>
    </w:rPr>
  </w:style>
  <w:style w:type="paragraph" w:styleId="Subtitle">
    <w:name w:val="Subtitle"/>
    <w:basedOn w:val="Normal"/>
    <w:next w:val="Normal"/>
    <w:link w:val="SubtitleChar"/>
    <w:uiPriority w:val="11"/>
    <w:rsid w:val="00E96E71"/>
    <w:pPr>
      <w:numPr>
        <w:ilvl w:val="1"/>
      </w:numPr>
    </w:pPr>
    <w:rPr>
      <w:rFonts w:eastAsia="MS PGothic"/>
      <w:i/>
      <w:iCs/>
      <w:color w:val="4E88C7"/>
      <w:spacing w:val="15"/>
      <w:sz w:val="24"/>
      <w:szCs w:val="24"/>
      <w:lang w:val="en-US" w:eastAsia="ja-JP"/>
    </w:rPr>
  </w:style>
  <w:style w:type="character" w:customStyle="1" w:styleId="SubtitleChar">
    <w:name w:val="Subtitle Char"/>
    <w:link w:val="Subtitle"/>
    <w:uiPriority w:val="11"/>
    <w:rsid w:val="00E96E71"/>
    <w:rPr>
      <w:rFonts w:ascii="Calibri" w:eastAsia="MS PGothic" w:hAnsi="Calibri" w:cs="Times New Roman"/>
      <w:i/>
      <w:iCs/>
      <w:color w:val="4E88C7"/>
      <w:spacing w:val="15"/>
      <w:sz w:val="24"/>
      <w:szCs w:val="24"/>
      <w:lang w:val="en-US" w:eastAsia="ja-JP"/>
    </w:rPr>
  </w:style>
  <w:style w:type="paragraph" w:styleId="BalloonText">
    <w:name w:val="Balloon Text"/>
    <w:basedOn w:val="Normal"/>
    <w:link w:val="BalloonTextChar"/>
    <w:uiPriority w:val="99"/>
    <w:semiHidden/>
    <w:unhideWhenUsed/>
    <w:rsid w:val="00E96E71"/>
    <w:pPr>
      <w:spacing w:after="0"/>
    </w:pPr>
    <w:rPr>
      <w:rFonts w:ascii="Tahoma" w:hAnsi="Tahoma" w:cs="Tahoma"/>
      <w:sz w:val="16"/>
      <w:szCs w:val="16"/>
    </w:rPr>
  </w:style>
  <w:style w:type="character" w:customStyle="1" w:styleId="BalloonTextChar">
    <w:name w:val="Balloon Text Char"/>
    <w:link w:val="BalloonText"/>
    <w:uiPriority w:val="99"/>
    <w:semiHidden/>
    <w:rsid w:val="00E96E71"/>
    <w:rPr>
      <w:rFonts w:ascii="Tahoma" w:hAnsi="Tahoma" w:cs="Tahoma"/>
      <w:sz w:val="16"/>
      <w:szCs w:val="16"/>
      <w:lang w:eastAsia="en-US"/>
    </w:rPr>
  </w:style>
  <w:style w:type="paragraph" w:styleId="NoSpacing">
    <w:name w:val="No Spacing"/>
    <w:uiPriority w:val="9"/>
    <w:qFormat/>
    <w:rsid w:val="00C96622"/>
    <w:pPr>
      <w:jc w:val="both"/>
    </w:pPr>
    <w:rPr>
      <w:color w:val="59666D"/>
      <w:sz w:val="16"/>
      <w:szCs w:val="22"/>
      <w:lang w:val="en-GB"/>
    </w:rPr>
  </w:style>
  <w:style w:type="paragraph" w:customStyle="1" w:styleId="BodyText">
    <w:name w:val="BodyText"/>
    <w:basedOn w:val="Normal"/>
    <w:link w:val="BodyTextChar"/>
    <w:qFormat/>
    <w:rsid w:val="00D10BAD"/>
  </w:style>
  <w:style w:type="table" w:styleId="LightShading-Accent6">
    <w:name w:val="Light Shading Accent 6"/>
    <w:basedOn w:val="TableNormal"/>
    <w:uiPriority w:val="60"/>
    <w:rsid w:val="00E96E71"/>
    <w:rPr>
      <w:color w:val="006860"/>
    </w:rPr>
    <w:tblPr>
      <w:tblStyleRowBandSize w:val="1"/>
      <w:tblStyleColBandSize w:val="1"/>
      <w:tblBorders>
        <w:top w:val="single" w:sz="8" w:space="0" w:color="008C82"/>
        <w:bottom w:val="single" w:sz="8" w:space="0" w:color="008C82"/>
      </w:tblBorders>
    </w:tblPr>
    <w:tblStylePr w:type="firstRow">
      <w:pPr>
        <w:spacing w:before="0" w:after="0" w:line="240" w:lineRule="auto"/>
      </w:pPr>
      <w:rPr>
        <w:b/>
        <w:bCs/>
      </w:rPr>
      <w:tblPr/>
      <w:tcPr>
        <w:tcBorders>
          <w:top w:val="single" w:sz="8" w:space="0" w:color="008C82"/>
          <w:left w:val="nil"/>
          <w:bottom w:val="single" w:sz="8" w:space="0" w:color="008C82"/>
          <w:right w:val="nil"/>
          <w:insideH w:val="nil"/>
          <w:insideV w:val="nil"/>
        </w:tcBorders>
      </w:tcPr>
    </w:tblStylePr>
    <w:tblStylePr w:type="lastRow">
      <w:pPr>
        <w:spacing w:before="0" w:after="0" w:line="240" w:lineRule="auto"/>
      </w:pPr>
      <w:rPr>
        <w:b/>
        <w:bCs/>
      </w:rPr>
      <w:tblPr/>
      <w:tcPr>
        <w:tcBorders>
          <w:top w:val="single" w:sz="8" w:space="0" w:color="008C82"/>
          <w:left w:val="nil"/>
          <w:bottom w:val="single" w:sz="8" w:space="0" w:color="008C8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FFF8"/>
      </w:tcPr>
    </w:tblStylePr>
    <w:tblStylePr w:type="band1Horz">
      <w:tblPr/>
      <w:tcPr>
        <w:tcBorders>
          <w:left w:val="nil"/>
          <w:right w:val="nil"/>
          <w:insideH w:val="nil"/>
          <w:insideV w:val="nil"/>
        </w:tcBorders>
        <w:shd w:val="clear" w:color="auto" w:fill="A3FFF8"/>
      </w:tcPr>
    </w:tblStylePr>
  </w:style>
  <w:style w:type="table" w:styleId="LightList">
    <w:name w:val="Light List"/>
    <w:basedOn w:val="TableNormal"/>
    <w:uiPriority w:val="61"/>
    <w:rsid w:val="00E96E71"/>
    <w:tblPr>
      <w:tblStyleRowBandSize w:val="1"/>
      <w:tblStyleColBandSize w:val="1"/>
      <w:tblBorders>
        <w:top w:val="single" w:sz="8" w:space="0" w:color="4C4C4C"/>
        <w:left w:val="single" w:sz="8" w:space="0" w:color="4C4C4C"/>
        <w:bottom w:val="single" w:sz="8" w:space="0" w:color="4C4C4C"/>
        <w:right w:val="single" w:sz="8" w:space="0" w:color="4C4C4C"/>
      </w:tblBorders>
    </w:tblPr>
    <w:tblStylePr w:type="firstRow">
      <w:pPr>
        <w:spacing w:before="0" w:after="0" w:line="240" w:lineRule="auto"/>
      </w:pPr>
      <w:rPr>
        <w:b/>
        <w:bCs/>
        <w:color w:val="FFFFFF"/>
      </w:rPr>
      <w:tblPr/>
      <w:tcPr>
        <w:shd w:val="clear" w:color="auto" w:fill="4C4C4C"/>
      </w:tcPr>
    </w:tblStylePr>
    <w:tblStylePr w:type="lastRow">
      <w:pPr>
        <w:spacing w:before="0" w:after="0" w:line="240" w:lineRule="auto"/>
      </w:pPr>
      <w:rPr>
        <w:b/>
        <w:bCs/>
      </w:rPr>
      <w:tblPr/>
      <w:tcPr>
        <w:tcBorders>
          <w:top w:val="double" w:sz="6" w:space="0" w:color="4C4C4C"/>
          <w:left w:val="single" w:sz="8" w:space="0" w:color="4C4C4C"/>
          <w:bottom w:val="single" w:sz="8" w:space="0" w:color="4C4C4C"/>
          <w:right w:val="single" w:sz="8" w:space="0" w:color="4C4C4C"/>
        </w:tcBorders>
      </w:tcPr>
    </w:tblStylePr>
    <w:tblStylePr w:type="firstCol">
      <w:rPr>
        <w:b/>
        <w:bCs/>
      </w:rPr>
    </w:tblStylePr>
    <w:tblStylePr w:type="lastCol">
      <w:rPr>
        <w:b/>
        <w:bCs/>
      </w:rPr>
    </w:tblStylePr>
    <w:tblStylePr w:type="band1Vert">
      <w:tblPr/>
      <w:tcPr>
        <w:tcBorders>
          <w:top w:val="single" w:sz="8" w:space="0" w:color="4C4C4C"/>
          <w:left w:val="single" w:sz="8" w:space="0" w:color="4C4C4C"/>
          <w:bottom w:val="single" w:sz="8" w:space="0" w:color="4C4C4C"/>
          <w:right w:val="single" w:sz="8" w:space="0" w:color="4C4C4C"/>
        </w:tcBorders>
      </w:tcPr>
    </w:tblStylePr>
    <w:tblStylePr w:type="band1Horz">
      <w:tblPr/>
      <w:tcPr>
        <w:tcBorders>
          <w:top w:val="single" w:sz="8" w:space="0" w:color="4C4C4C"/>
          <w:left w:val="single" w:sz="8" w:space="0" w:color="4C4C4C"/>
          <w:bottom w:val="single" w:sz="8" w:space="0" w:color="4C4C4C"/>
          <w:right w:val="single" w:sz="8" w:space="0" w:color="4C4C4C"/>
        </w:tcBorders>
      </w:tcPr>
    </w:tblStylePr>
  </w:style>
  <w:style w:type="table" w:styleId="LightList-Accent1">
    <w:name w:val="Light List Accent 1"/>
    <w:basedOn w:val="TableNormal"/>
    <w:uiPriority w:val="61"/>
    <w:rsid w:val="00E96E71"/>
    <w:tblPr>
      <w:tblStyleRowBandSize w:val="1"/>
      <w:tblStyleColBandSize w:val="1"/>
      <w:tblBorders>
        <w:top w:val="single" w:sz="8" w:space="0" w:color="4E88C7"/>
        <w:left w:val="single" w:sz="8" w:space="0" w:color="4E88C7"/>
        <w:bottom w:val="single" w:sz="8" w:space="0" w:color="4E88C7"/>
        <w:right w:val="single" w:sz="8" w:space="0" w:color="4E88C7"/>
      </w:tblBorders>
    </w:tblPr>
    <w:tblStylePr w:type="firstRow">
      <w:pPr>
        <w:spacing w:before="0" w:after="0" w:line="240" w:lineRule="auto"/>
      </w:pPr>
      <w:rPr>
        <w:b/>
        <w:bCs/>
        <w:color w:val="FFFFFF"/>
      </w:rPr>
      <w:tblPr/>
      <w:tcPr>
        <w:shd w:val="clear" w:color="auto" w:fill="4E88C7"/>
      </w:tcPr>
    </w:tblStylePr>
    <w:tblStylePr w:type="lastRow">
      <w:pPr>
        <w:spacing w:before="0" w:after="0" w:line="240" w:lineRule="auto"/>
      </w:pPr>
      <w:rPr>
        <w:b/>
        <w:bCs/>
      </w:rPr>
      <w:tblPr/>
      <w:tcPr>
        <w:tcBorders>
          <w:top w:val="double" w:sz="6" w:space="0" w:color="4E88C7"/>
          <w:left w:val="single" w:sz="8" w:space="0" w:color="4E88C7"/>
          <w:bottom w:val="single" w:sz="8" w:space="0" w:color="4E88C7"/>
          <w:right w:val="single" w:sz="8" w:space="0" w:color="4E88C7"/>
        </w:tcBorders>
      </w:tcPr>
    </w:tblStylePr>
    <w:tblStylePr w:type="firstCol">
      <w:rPr>
        <w:b/>
        <w:bCs/>
      </w:rPr>
    </w:tblStylePr>
    <w:tblStylePr w:type="lastCol">
      <w:rPr>
        <w:b/>
        <w:bCs/>
      </w:rPr>
    </w:tblStylePr>
    <w:tblStylePr w:type="band1Vert">
      <w:tblPr/>
      <w:tcPr>
        <w:tcBorders>
          <w:top w:val="single" w:sz="8" w:space="0" w:color="4E88C7"/>
          <w:left w:val="single" w:sz="8" w:space="0" w:color="4E88C7"/>
          <w:bottom w:val="single" w:sz="8" w:space="0" w:color="4E88C7"/>
          <w:right w:val="single" w:sz="8" w:space="0" w:color="4E88C7"/>
        </w:tcBorders>
      </w:tcPr>
    </w:tblStylePr>
    <w:tblStylePr w:type="band1Horz">
      <w:tblPr/>
      <w:tcPr>
        <w:tcBorders>
          <w:top w:val="single" w:sz="8" w:space="0" w:color="4E88C7"/>
          <w:left w:val="single" w:sz="8" w:space="0" w:color="4E88C7"/>
          <w:bottom w:val="single" w:sz="8" w:space="0" w:color="4E88C7"/>
          <w:right w:val="single" w:sz="8" w:space="0" w:color="4E88C7"/>
        </w:tcBorders>
      </w:tcPr>
    </w:tblStylePr>
  </w:style>
  <w:style w:type="paragraph" w:customStyle="1" w:styleId="CoverTitle">
    <w:name w:val="CoverTitle"/>
    <w:basedOn w:val="Normal"/>
    <w:uiPriority w:val="9"/>
    <w:semiHidden/>
    <w:qFormat/>
    <w:rsid w:val="009B5C3D"/>
    <w:pPr>
      <w:framePr w:hSpace="181" w:wrap="around" w:vAnchor="page" w:hAnchor="margin" w:x="1" w:y="3216"/>
    </w:pPr>
    <w:rPr>
      <w:b/>
      <w:color w:val="32659D"/>
      <w:sz w:val="72"/>
    </w:rPr>
  </w:style>
  <w:style w:type="paragraph" w:customStyle="1" w:styleId="AppendixHeading1">
    <w:name w:val="Appendix Heading 1"/>
    <w:basedOn w:val="Heading1"/>
    <w:next w:val="BodyText0"/>
    <w:link w:val="AppendixHeading1Char"/>
    <w:uiPriority w:val="3"/>
    <w:qFormat/>
    <w:rsid w:val="00E2402E"/>
    <w:pPr>
      <w:keepLines w:val="0"/>
      <w:numPr>
        <w:numId w:val="19"/>
      </w:numPr>
      <w:pBdr>
        <w:bottom w:val="none" w:sz="0" w:space="0" w:color="auto"/>
      </w:pBdr>
      <w:spacing w:before="240" w:after="60"/>
    </w:pPr>
    <w:rPr>
      <w:rFonts w:ascii="Arial" w:eastAsia="Times New Roman" w:hAnsi="Arial" w:cs="Arial"/>
      <w:color w:val="365F91"/>
      <w:kern w:val="32"/>
      <w:sz w:val="32"/>
      <w:lang w:eastAsia="en-GB"/>
    </w:rPr>
  </w:style>
  <w:style w:type="character" w:customStyle="1" w:styleId="AppendixHeading1Char">
    <w:name w:val="Appendix Heading 1 Char"/>
    <w:link w:val="AppendixHeading1"/>
    <w:uiPriority w:val="3"/>
    <w:rsid w:val="001C04D6"/>
    <w:rPr>
      <w:rFonts w:ascii="Arial" w:eastAsia="Times New Roman" w:hAnsi="Arial" w:cs="Arial"/>
      <w:b/>
      <w:bCs/>
      <w:color w:val="365F91"/>
      <w:kern w:val="32"/>
      <w:sz w:val="32"/>
      <w:szCs w:val="32"/>
    </w:rPr>
  </w:style>
  <w:style w:type="paragraph" w:styleId="TOC4">
    <w:name w:val="toc 4"/>
    <w:basedOn w:val="Normal"/>
    <w:next w:val="Normal"/>
    <w:autoRedefine/>
    <w:uiPriority w:val="39"/>
    <w:unhideWhenUsed/>
    <w:rsid w:val="008F3187"/>
    <w:pPr>
      <w:spacing w:after="0"/>
      <w:ind w:left="660"/>
      <w:jc w:val="left"/>
    </w:pPr>
    <w:rPr>
      <w:sz w:val="20"/>
      <w:szCs w:val="20"/>
    </w:rPr>
  </w:style>
  <w:style w:type="table" w:styleId="TableGrid">
    <w:name w:val="Table Grid"/>
    <w:aliases w:val="Check(v)"/>
    <w:basedOn w:val="TableNormal"/>
    <w:uiPriority w:val="59"/>
    <w:rsid w:val="009D6E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ploratory">
    <w:name w:val="Exploratory"/>
    <w:basedOn w:val="Normal"/>
    <w:uiPriority w:val="9"/>
    <w:semiHidden/>
    <w:qFormat/>
    <w:rsid w:val="00F2139F"/>
    <w:pPr>
      <w:framePr w:hSpace="180" w:wrap="around" w:vAnchor="page" w:hAnchor="page" w:xAlign="right" w:y="698"/>
    </w:pPr>
    <w:rPr>
      <w:b/>
      <w:color w:val="A5D028"/>
    </w:rPr>
  </w:style>
  <w:style w:type="character" w:customStyle="1" w:styleId="Heading1Char">
    <w:name w:val="Heading 1 Char"/>
    <w:link w:val="Heading1"/>
    <w:uiPriority w:val="2"/>
    <w:rsid w:val="001C04D6"/>
    <w:rPr>
      <w:rFonts w:eastAsia="MS PGothic"/>
      <w:b/>
      <w:bCs/>
      <w:color w:val="4C4C4C"/>
      <w:sz w:val="48"/>
      <w:szCs w:val="32"/>
      <w:lang w:eastAsia="en-US"/>
    </w:rPr>
  </w:style>
  <w:style w:type="paragraph" w:customStyle="1" w:styleId="HeadingUnderline">
    <w:name w:val="HeadingUnderline"/>
    <w:basedOn w:val="Heading2"/>
    <w:next w:val="BodyText"/>
    <w:uiPriority w:val="4"/>
    <w:qFormat/>
    <w:rsid w:val="00D67BE7"/>
    <w:pPr>
      <w:numPr>
        <w:ilvl w:val="0"/>
        <w:numId w:val="0"/>
      </w:numPr>
      <w:pBdr>
        <w:bottom w:val="single" w:sz="4" w:space="1" w:color="4E88C7"/>
      </w:pBdr>
      <w:spacing w:before="120" w:after="120"/>
      <w:jc w:val="left"/>
    </w:pPr>
    <w:rPr>
      <w:color w:val="32659D"/>
      <w:sz w:val="24"/>
    </w:rPr>
  </w:style>
  <w:style w:type="paragraph" w:customStyle="1" w:styleId="Rule">
    <w:name w:val="Rule"/>
    <w:basedOn w:val="Normal"/>
    <w:next w:val="BodyText"/>
    <w:uiPriority w:val="4"/>
    <w:qFormat/>
    <w:rsid w:val="009562F5"/>
    <w:pPr>
      <w:pBdr>
        <w:bottom w:val="single" w:sz="4" w:space="1" w:color="6CAFFF"/>
      </w:pBdr>
    </w:pPr>
    <w:rPr>
      <w:color w:val="6CAFFF"/>
    </w:rPr>
  </w:style>
  <w:style w:type="paragraph" w:customStyle="1" w:styleId="DocSubtitle">
    <w:name w:val="DocSubtitle"/>
    <w:uiPriority w:val="9"/>
    <w:semiHidden/>
    <w:qFormat/>
    <w:rsid w:val="007B57EA"/>
    <w:pPr>
      <w:spacing w:before="200" w:after="200"/>
    </w:pPr>
    <w:rPr>
      <w:caps/>
      <w:color w:val="59666D"/>
      <w:sz w:val="28"/>
      <w:szCs w:val="28"/>
      <w:lang w:val="en-GB"/>
    </w:rPr>
  </w:style>
  <w:style w:type="character" w:customStyle="1" w:styleId="Heading2Char">
    <w:name w:val="Heading 2 Char"/>
    <w:link w:val="Heading2"/>
    <w:uiPriority w:val="2"/>
    <w:rsid w:val="001C04D6"/>
    <w:rPr>
      <w:b/>
      <w:color w:val="59666D"/>
      <w:sz w:val="32"/>
      <w:szCs w:val="22"/>
      <w:lang w:eastAsia="en-US"/>
    </w:rPr>
  </w:style>
  <w:style w:type="paragraph" w:styleId="Header">
    <w:name w:val="header"/>
    <w:aliases w:val="TOCHeader"/>
    <w:basedOn w:val="Normal"/>
    <w:link w:val="HeaderChar"/>
    <w:uiPriority w:val="9"/>
    <w:semiHidden/>
    <w:qFormat/>
    <w:rsid w:val="00481215"/>
    <w:pPr>
      <w:tabs>
        <w:tab w:val="center" w:pos="4320"/>
        <w:tab w:val="right" w:pos="8640"/>
      </w:tabs>
      <w:spacing w:after="0"/>
    </w:pPr>
    <w:rPr>
      <w:rFonts w:ascii="Cambria" w:hAnsi="Cambria"/>
      <w:b/>
      <w:color w:val="365F91"/>
      <w:sz w:val="28"/>
    </w:rPr>
  </w:style>
  <w:style w:type="character" w:customStyle="1" w:styleId="HeaderChar">
    <w:name w:val="Header Char"/>
    <w:aliases w:val="TOCHeader Char"/>
    <w:link w:val="Header"/>
    <w:uiPriority w:val="9"/>
    <w:semiHidden/>
    <w:rsid w:val="00C25418"/>
    <w:rPr>
      <w:rFonts w:ascii="Cambria" w:hAnsi="Cambria"/>
      <w:b/>
      <w:color w:val="365F91"/>
      <w:sz w:val="28"/>
      <w:szCs w:val="22"/>
      <w:lang w:eastAsia="en-US"/>
    </w:rPr>
  </w:style>
  <w:style w:type="paragraph" w:styleId="Footer">
    <w:name w:val="footer"/>
    <w:aliases w:val="Footer-even"/>
    <w:link w:val="FooterChar"/>
    <w:uiPriority w:val="99"/>
    <w:rsid w:val="00382241"/>
    <w:pPr>
      <w:tabs>
        <w:tab w:val="center" w:pos="4320"/>
        <w:tab w:val="right" w:pos="8640"/>
      </w:tabs>
      <w:jc w:val="right"/>
    </w:pPr>
    <w:rPr>
      <w:color w:val="59666D"/>
      <w:sz w:val="16"/>
      <w:szCs w:val="22"/>
      <w:lang w:val="en-GB"/>
    </w:rPr>
  </w:style>
  <w:style w:type="character" w:customStyle="1" w:styleId="FooterChar">
    <w:name w:val="Footer Char"/>
    <w:aliases w:val="Footer-even Char"/>
    <w:link w:val="Footer"/>
    <w:uiPriority w:val="99"/>
    <w:rsid w:val="00C25418"/>
    <w:rPr>
      <w:color w:val="59666D"/>
      <w:sz w:val="16"/>
      <w:szCs w:val="22"/>
      <w:lang w:eastAsia="en-US"/>
    </w:rPr>
  </w:style>
  <w:style w:type="paragraph" w:customStyle="1" w:styleId="Runningtitle">
    <w:name w:val="Running title"/>
    <w:basedOn w:val="Header"/>
    <w:uiPriority w:val="4"/>
    <w:rsid w:val="00770FFF"/>
    <w:pPr>
      <w:jc w:val="right"/>
    </w:pPr>
  </w:style>
  <w:style w:type="character" w:styleId="PageNumber">
    <w:name w:val="page number"/>
    <w:basedOn w:val="DefaultParagraphFont"/>
    <w:uiPriority w:val="99"/>
    <w:semiHidden/>
    <w:unhideWhenUsed/>
    <w:rsid w:val="009E4F7A"/>
  </w:style>
  <w:style w:type="paragraph" w:customStyle="1" w:styleId="footer-folio">
    <w:name w:val="footer-folio"/>
    <w:basedOn w:val="Normal"/>
    <w:uiPriority w:val="99"/>
    <w:rsid w:val="007B57EA"/>
    <w:pPr>
      <w:widowControl w:val="0"/>
      <w:autoSpaceDE w:val="0"/>
      <w:autoSpaceDN w:val="0"/>
      <w:adjustRightInd w:val="0"/>
      <w:spacing w:after="0" w:line="288" w:lineRule="auto"/>
      <w:jc w:val="right"/>
      <w:textAlignment w:val="center"/>
    </w:pPr>
    <w:rPr>
      <w:rFonts w:cs="Calibri"/>
      <w:color w:val="54666F"/>
      <w:lang w:eastAsia="en-GB"/>
    </w:rPr>
  </w:style>
  <w:style w:type="table" w:styleId="LightShading-Accent1">
    <w:name w:val="Light Shading Accent 1"/>
    <w:basedOn w:val="TableNormal"/>
    <w:uiPriority w:val="60"/>
    <w:rsid w:val="00F41413"/>
    <w:rPr>
      <w:color w:val="32659D"/>
    </w:rPr>
    <w:tblPr>
      <w:tblStyleRowBandSize w:val="1"/>
      <w:tblStyleColBandSize w:val="1"/>
      <w:tblBorders>
        <w:top w:val="single" w:sz="8" w:space="0" w:color="4E88C7"/>
        <w:bottom w:val="single" w:sz="8" w:space="0" w:color="4E88C7"/>
      </w:tblBorders>
    </w:tblPr>
    <w:tblStylePr w:type="firstRow">
      <w:pPr>
        <w:spacing w:before="0" w:after="0" w:line="240" w:lineRule="auto"/>
      </w:pPr>
      <w:rPr>
        <w:b/>
        <w:bCs/>
      </w:rPr>
      <w:tblPr/>
      <w:tcPr>
        <w:tcBorders>
          <w:top w:val="single" w:sz="8" w:space="0" w:color="4E88C7"/>
          <w:left w:val="nil"/>
          <w:bottom w:val="single" w:sz="8" w:space="0" w:color="4E88C7"/>
          <w:right w:val="nil"/>
          <w:insideH w:val="nil"/>
          <w:insideV w:val="nil"/>
        </w:tcBorders>
      </w:tcPr>
    </w:tblStylePr>
    <w:tblStylePr w:type="lastRow">
      <w:pPr>
        <w:spacing w:before="0" w:after="0" w:line="240" w:lineRule="auto"/>
      </w:pPr>
      <w:rPr>
        <w:b/>
        <w:bCs/>
      </w:rPr>
      <w:tblPr/>
      <w:tcPr>
        <w:tcBorders>
          <w:top w:val="single" w:sz="8" w:space="0" w:color="4E88C7"/>
          <w:left w:val="nil"/>
          <w:bottom w:val="single" w:sz="8" w:space="0" w:color="4E88C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1F1"/>
      </w:tcPr>
    </w:tblStylePr>
    <w:tblStylePr w:type="band1Horz">
      <w:tblPr/>
      <w:tcPr>
        <w:tcBorders>
          <w:left w:val="nil"/>
          <w:right w:val="nil"/>
          <w:insideH w:val="nil"/>
          <w:insideV w:val="nil"/>
        </w:tcBorders>
        <w:shd w:val="clear" w:color="auto" w:fill="D3E1F1"/>
      </w:tcPr>
    </w:tblStylePr>
  </w:style>
  <w:style w:type="paragraph" w:customStyle="1" w:styleId="TableHeader">
    <w:name w:val="TableHeader"/>
    <w:uiPriority w:val="8"/>
    <w:qFormat/>
    <w:rsid w:val="00192F6A"/>
    <w:pPr>
      <w:spacing w:after="120"/>
    </w:pPr>
    <w:rPr>
      <w:b/>
      <w:color w:val="32659D"/>
      <w:sz w:val="24"/>
      <w:szCs w:val="22"/>
      <w:lang w:val="en-GB"/>
    </w:rPr>
  </w:style>
  <w:style w:type="paragraph" w:customStyle="1" w:styleId="TableSubheader">
    <w:name w:val="TableSubheader"/>
    <w:basedOn w:val="Normal"/>
    <w:uiPriority w:val="8"/>
    <w:qFormat/>
    <w:rsid w:val="008655F1"/>
    <w:pPr>
      <w:spacing w:before="200" w:after="0"/>
      <w:jc w:val="left"/>
    </w:pPr>
    <w:rPr>
      <w:b/>
      <w:bCs/>
      <w:color w:val="32659D"/>
    </w:rPr>
  </w:style>
  <w:style w:type="paragraph" w:customStyle="1" w:styleId="TableData">
    <w:name w:val="TableData"/>
    <w:basedOn w:val="Normal"/>
    <w:uiPriority w:val="8"/>
    <w:qFormat/>
    <w:rsid w:val="007C4D0D"/>
    <w:pPr>
      <w:suppressAutoHyphens/>
      <w:spacing w:before="60" w:after="60"/>
      <w:jc w:val="left"/>
    </w:pPr>
    <w:rPr>
      <w:sz w:val="20"/>
      <w:szCs w:val="20"/>
    </w:rPr>
  </w:style>
  <w:style w:type="character" w:styleId="PlaceholderText">
    <w:name w:val="Placeholder Text"/>
    <w:uiPriority w:val="99"/>
    <w:semiHidden/>
    <w:rsid w:val="003760FB"/>
    <w:rPr>
      <w:color w:val="808080"/>
    </w:rPr>
  </w:style>
  <w:style w:type="paragraph" w:customStyle="1" w:styleId="TextforHorizon2020">
    <w:name w:val="Text for Horizon 2020"/>
    <w:basedOn w:val="Normal"/>
    <w:uiPriority w:val="8"/>
    <w:semiHidden/>
    <w:rsid w:val="006808CD"/>
    <w:pPr>
      <w:spacing w:after="100"/>
      <w:jc w:val="left"/>
    </w:pPr>
    <w:rPr>
      <w:sz w:val="18"/>
      <w:szCs w:val="24"/>
    </w:rPr>
  </w:style>
  <w:style w:type="paragraph" w:customStyle="1" w:styleId="Style1">
    <w:name w:val="Style1"/>
    <w:uiPriority w:val="9"/>
    <w:semiHidden/>
    <w:rsid w:val="00F71EE1"/>
    <w:pPr>
      <w:widowControl w:val="0"/>
      <w:pBdr>
        <w:right w:val="single" w:sz="4" w:space="4" w:color="4E88C7"/>
      </w:pBdr>
      <w:autoSpaceDE w:val="0"/>
      <w:autoSpaceDN w:val="0"/>
      <w:adjustRightInd w:val="0"/>
      <w:jc w:val="right"/>
      <w:textAlignment w:val="center"/>
    </w:pPr>
    <w:rPr>
      <w:rFonts w:cs="Calibri"/>
      <w:color w:val="54666F"/>
      <w:sz w:val="12"/>
      <w:szCs w:val="12"/>
      <w:lang w:val="en-GB" w:eastAsia="en-GB"/>
    </w:rPr>
  </w:style>
  <w:style w:type="paragraph" w:styleId="ListParagraph">
    <w:name w:val="List Paragraph"/>
    <w:aliases w:val="Titulo 2,Heading 2_sj,Numbered Para 1,Dot pt,No Spacing1,List Paragraph Char Char Char,Indicator Text,List Paragraph1,Bullet Points,MAIN CONTENT,Lista viñetas,Akapit z listą,circulos"/>
    <w:basedOn w:val="Normal"/>
    <w:link w:val="ListParagraphChar"/>
    <w:qFormat/>
    <w:rsid w:val="00B7435F"/>
    <w:pPr>
      <w:numPr>
        <w:numId w:val="1"/>
      </w:numPr>
      <w:contextualSpacing/>
    </w:pPr>
  </w:style>
  <w:style w:type="character" w:customStyle="1" w:styleId="Heading3Char">
    <w:name w:val="Heading 3 Char"/>
    <w:link w:val="Heading3"/>
    <w:uiPriority w:val="2"/>
    <w:rsid w:val="001C04D6"/>
    <w:rPr>
      <w:rFonts w:eastAsia="MS PGothic"/>
      <w:b/>
      <w:bCs/>
      <w:color w:val="4C4C4C"/>
      <w:sz w:val="28"/>
      <w:szCs w:val="22"/>
      <w:lang w:eastAsia="en-US"/>
    </w:rPr>
  </w:style>
  <w:style w:type="paragraph" w:customStyle="1" w:styleId="PageHeader">
    <w:name w:val="PageHeader"/>
    <w:basedOn w:val="Header"/>
    <w:uiPriority w:val="10"/>
    <w:semiHidden/>
    <w:qFormat/>
    <w:rsid w:val="00481215"/>
    <w:rPr>
      <w:rFonts w:ascii="Calibri" w:hAnsi="Calibri"/>
      <w:b w:val="0"/>
      <w:caps/>
      <w:color w:val="59666D"/>
      <w:sz w:val="18"/>
    </w:rPr>
  </w:style>
  <w:style w:type="paragraph" w:styleId="TOC3">
    <w:name w:val="toc 3"/>
    <w:basedOn w:val="Normal"/>
    <w:next w:val="Normal"/>
    <w:autoRedefine/>
    <w:uiPriority w:val="39"/>
    <w:unhideWhenUsed/>
    <w:rsid w:val="005D1154"/>
    <w:pPr>
      <w:spacing w:after="0"/>
      <w:ind w:left="440"/>
      <w:jc w:val="left"/>
    </w:pPr>
    <w:rPr>
      <w:sz w:val="20"/>
      <w:szCs w:val="20"/>
    </w:rPr>
  </w:style>
  <w:style w:type="numbering" w:styleId="111111">
    <w:name w:val="Outline List 2"/>
    <w:basedOn w:val="NoList"/>
    <w:uiPriority w:val="99"/>
    <w:semiHidden/>
    <w:unhideWhenUsed/>
    <w:rsid w:val="00485100"/>
    <w:pPr>
      <w:numPr>
        <w:numId w:val="2"/>
      </w:numPr>
    </w:pPr>
  </w:style>
  <w:style w:type="character" w:customStyle="1" w:styleId="Heading4Char">
    <w:name w:val="Heading 4 Char"/>
    <w:link w:val="Heading4"/>
    <w:uiPriority w:val="2"/>
    <w:rsid w:val="001C04D6"/>
    <w:rPr>
      <w:rFonts w:eastAsia="Times New Roman"/>
      <w:b/>
      <w:bCs/>
      <w:color w:val="4C4C4C"/>
      <w:sz w:val="26"/>
      <w:szCs w:val="28"/>
    </w:rPr>
  </w:style>
  <w:style w:type="character" w:customStyle="1" w:styleId="Heading5Char">
    <w:name w:val="Heading 5 Char"/>
    <w:link w:val="Heading5"/>
    <w:uiPriority w:val="2"/>
    <w:rsid w:val="001C04D6"/>
    <w:rPr>
      <w:rFonts w:eastAsia="Times New Roman"/>
      <w:b/>
      <w:bCs/>
      <w:iCs/>
      <w:color w:val="4C4C4C"/>
      <w:sz w:val="24"/>
      <w:szCs w:val="26"/>
    </w:rPr>
  </w:style>
  <w:style w:type="character" w:customStyle="1" w:styleId="Heading6Char">
    <w:name w:val="Heading 6 Char"/>
    <w:link w:val="Heading6"/>
    <w:uiPriority w:val="2"/>
    <w:rsid w:val="001C04D6"/>
    <w:rPr>
      <w:rFonts w:eastAsia="Times New Roman"/>
      <w:b/>
      <w:bCs/>
      <w:color w:val="4C4C4C"/>
      <w:sz w:val="22"/>
      <w:szCs w:val="22"/>
    </w:rPr>
  </w:style>
  <w:style w:type="character" w:customStyle="1" w:styleId="Heading7Char">
    <w:name w:val="Heading 7 Char"/>
    <w:link w:val="Heading7"/>
    <w:uiPriority w:val="9"/>
    <w:semiHidden/>
    <w:rsid w:val="00656C77"/>
    <w:rPr>
      <w:rFonts w:eastAsia="MS PGothic"/>
      <w:i/>
      <w:iCs/>
      <w:color w:val="787878"/>
      <w:sz w:val="22"/>
      <w:szCs w:val="22"/>
      <w:lang w:eastAsia="en-US"/>
    </w:rPr>
  </w:style>
  <w:style w:type="character" w:customStyle="1" w:styleId="Heading8Char">
    <w:name w:val="Heading 8 Char"/>
    <w:link w:val="Heading8"/>
    <w:uiPriority w:val="9"/>
    <w:semiHidden/>
    <w:rsid w:val="00656C77"/>
    <w:rPr>
      <w:rFonts w:eastAsia="MS PGothic"/>
      <w:color w:val="787878"/>
      <w:lang w:eastAsia="en-US"/>
    </w:rPr>
  </w:style>
  <w:style w:type="character" w:customStyle="1" w:styleId="Heading9Char">
    <w:name w:val="Heading 9 Char"/>
    <w:link w:val="Heading9"/>
    <w:uiPriority w:val="9"/>
    <w:semiHidden/>
    <w:rsid w:val="00656C77"/>
    <w:rPr>
      <w:rFonts w:eastAsia="MS PGothic"/>
      <w:i/>
      <w:iCs/>
      <w:color w:val="787878"/>
      <w:lang w:eastAsia="en-US"/>
    </w:rPr>
  </w:style>
  <w:style w:type="paragraph" w:customStyle="1" w:styleId="CoverData">
    <w:name w:val="CoverData"/>
    <w:basedOn w:val="Normal"/>
    <w:uiPriority w:val="9"/>
    <w:semiHidden/>
    <w:qFormat/>
    <w:rsid w:val="007C7AC4"/>
    <w:pPr>
      <w:spacing w:after="0"/>
    </w:pPr>
    <w:rPr>
      <w:b/>
      <w:color w:val="32659D"/>
      <w:sz w:val="24"/>
    </w:rPr>
  </w:style>
  <w:style w:type="paragraph" w:customStyle="1" w:styleId="body">
    <w:name w:val="body"/>
    <w:basedOn w:val="Normal"/>
    <w:uiPriority w:val="99"/>
    <w:rsid w:val="00632184"/>
    <w:pPr>
      <w:widowControl w:val="0"/>
      <w:autoSpaceDE w:val="0"/>
      <w:autoSpaceDN w:val="0"/>
      <w:adjustRightInd w:val="0"/>
      <w:spacing w:after="170" w:line="288" w:lineRule="auto"/>
      <w:textAlignment w:val="center"/>
    </w:pPr>
    <w:rPr>
      <w:rFonts w:cs="Calibri"/>
      <w:color w:val="54666F"/>
      <w:u w:color="70BE54"/>
      <w:lang w:eastAsia="en-GB"/>
    </w:rPr>
  </w:style>
  <w:style w:type="paragraph" w:styleId="TOCHeading">
    <w:name w:val="TOC Heading"/>
    <w:basedOn w:val="Heading1"/>
    <w:next w:val="Normal"/>
    <w:uiPriority w:val="39"/>
    <w:unhideWhenUsed/>
    <w:qFormat/>
    <w:rsid w:val="00FB758B"/>
    <w:pPr>
      <w:spacing w:before="480" w:line="276" w:lineRule="auto"/>
      <w:outlineLvl w:val="9"/>
    </w:pPr>
    <w:rPr>
      <w:rFonts w:ascii="Cambria" w:eastAsia="MS Gothic" w:hAnsi="Cambria"/>
      <w:color w:val="365F91"/>
      <w:sz w:val="28"/>
      <w:szCs w:val="28"/>
      <w:lang w:val="en-US" w:eastAsia="ja-JP"/>
    </w:rPr>
  </w:style>
  <w:style w:type="paragraph" w:styleId="TOC1">
    <w:name w:val="toc 1"/>
    <w:basedOn w:val="Normal"/>
    <w:next w:val="Normal"/>
    <w:autoRedefine/>
    <w:uiPriority w:val="39"/>
    <w:unhideWhenUsed/>
    <w:rsid w:val="00B26E4E"/>
    <w:pPr>
      <w:tabs>
        <w:tab w:val="left" w:pos="440"/>
        <w:tab w:val="right" w:leader="dot" w:pos="9060"/>
      </w:tabs>
      <w:spacing w:before="120" w:after="0"/>
      <w:jc w:val="left"/>
    </w:pPr>
    <w:rPr>
      <w:b/>
      <w:bCs/>
      <w:i/>
      <w:iCs/>
      <w:sz w:val="24"/>
      <w:szCs w:val="24"/>
    </w:rPr>
  </w:style>
  <w:style w:type="paragraph" w:styleId="TOC2">
    <w:name w:val="toc 2"/>
    <w:basedOn w:val="Normal"/>
    <w:next w:val="Normal"/>
    <w:autoRedefine/>
    <w:uiPriority w:val="39"/>
    <w:unhideWhenUsed/>
    <w:rsid w:val="00FB758B"/>
    <w:pPr>
      <w:spacing w:before="120" w:after="0"/>
      <w:ind w:left="220"/>
      <w:jc w:val="left"/>
    </w:pPr>
    <w:rPr>
      <w:b/>
      <w:bCs/>
    </w:rPr>
  </w:style>
  <w:style w:type="character" w:styleId="Hyperlink">
    <w:name w:val="Hyperlink"/>
    <w:uiPriority w:val="99"/>
    <w:unhideWhenUsed/>
    <w:rsid w:val="00FB758B"/>
    <w:rPr>
      <w:color w:val="0000FF"/>
      <w:u w:val="single"/>
    </w:rPr>
  </w:style>
  <w:style w:type="paragraph" w:styleId="BodyText0">
    <w:name w:val="Body Text"/>
    <w:basedOn w:val="Normal"/>
    <w:link w:val="BodyTextChar0"/>
    <w:uiPriority w:val="99"/>
    <w:unhideWhenUsed/>
    <w:rsid w:val="00F850C4"/>
    <w:pPr>
      <w:spacing w:after="120"/>
    </w:pPr>
  </w:style>
  <w:style w:type="character" w:customStyle="1" w:styleId="BodyTextChar0">
    <w:name w:val="Body Text Char"/>
    <w:link w:val="BodyText0"/>
    <w:uiPriority w:val="99"/>
    <w:rsid w:val="00F850C4"/>
    <w:rPr>
      <w:color w:val="59666D"/>
      <w:sz w:val="22"/>
      <w:szCs w:val="22"/>
      <w:lang w:eastAsia="en-US"/>
    </w:rPr>
  </w:style>
  <w:style w:type="paragraph" w:styleId="TOC5">
    <w:name w:val="toc 5"/>
    <w:basedOn w:val="Normal"/>
    <w:next w:val="Normal"/>
    <w:autoRedefine/>
    <w:uiPriority w:val="39"/>
    <w:unhideWhenUsed/>
    <w:rsid w:val="008F3187"/>
    <w:pPr>
      <w:spacing w:after="0"/>
      <w:ind w:left="880"/>
      <w:jc w:val="left"/>
    </w:pPr>
    <w:rPr>
      <w:sz w:val="20"/>
      <w:szCs w:val="20"/>
    </w:rPr>
  </w:style>
  <w:style w:type="paragraph" w:styleId="TOC6">
    <w:name w:val="toc 6"/>
    <w:basedOn w:val="Normal"/>
    <w:next w:val="Normal"/>
    <w:autoRedefine/>
    <w:uiPriority w:val="39"/>
    <w:unhideWhenUsed/>
    <w:rsid w:val="008F3187"/>
    <w:pPr>
      <w:spacing w:after="0"/>
      <w:ind w:left="1100"/>
      <w:jc w:val="left"/>
    </w:pPr>
    <w:rPr>
      <w:sz w:val="20"/>
      <w:szCs w:val="20"/>
    </w:rPr>
  </w:style>
  <w:style w:type="paragraph" w:customStyle="1" w:styleId="AppendixHeading2">
    <w:name w:val="Appendix Heading 2"/>
    <w:basedOn w:val="Heading2"/>
    <w:next w:val="BodyText0"/>
    <w:link w:val="AppendixHeading2Char"/>
    <w:uiPriority w:val="3"/>
    <w:qFormat/>
    <w:rsid w:val="00921BE3"/>
    <w:pPr>
      <w:keepNext/>
      <w:numPr>
        <w:numId w:val="19"/>
      </w:numPr>
      <w:spacing w:after="60"/>
    </w:pPr>
    <w:rPr>
      <w:rFonts w:ascii="Arial" w:eastAsia="Times New Roman" w:hAnsi="Arial" w:cs="Arial"/>
      <w:b w:val="0"/>
      <w:bCs/>
      <w:iCs/>
      <w:color w:val="4F81BD"/>
      <w:sz w:val="30"/>
      <w:szCs w:val="28"/>
      <w:lang w:eastAsia="en-GB"/>
    </w:rPr>
  </w:style>
  <w:style w:type="character" w:customStyle="1" w:styleId="AppendixHeading2Char">
    <w:name w:val="Appendix Heading 2 Char"/>
    <w:link w:val="AppendixHeading2"/>
    <w:uiPriority w:val="3"/>
    <w:rsid w:val="001C04D6"/>
    <w:rPr>
      <w:rFonts w:ascii="Arial" w:eastAsia="Times New Roman" w:hAnsi="Arial" w:cs="Arial"/>
      <w:bCs/>
      <w:iCs/>
      <w:color w:val="4F81BD"/>
      <w:sz w:val="30"/>
      <w:szCs w:val="28"/>
    </w:rPr>
  </w:style>
  <w:style w:type="paragraph" w:customStyle="1" w:styleId="AppendixHeading3">
    <w:name w:val="Appendix Heading 3"/>
    <w:basedOn w:val="Heading3"/>
    <w:next w:val="BodyText0"/>
    <w:uiPriority w:val="3"/>
    <w:qFormat/>
    <w:rsid w:val="00921BE3"/>
    <w:pPr>
      <w:numPr>
        <w:numId w:val="19"/>
      </w:numPr>
      <w:spacing w:after="60"/>
    </w:pPr>
    <w:rPr>
      <w:rFonts w:ascii="Arial" w:eastAsia="Times New Roman" w:hAnsi="Arial" w:cs="Arial"/>
      <w:color w:val="4F81BD"/>
      <w:szCs w:val="26"/>
      <w:lang w:eastAsia="en-GB"/>
    </w:rPr>
  </w:style>
  <w:style w:type="paragraph" w:customStyle="1" w:styleId="DocTitle">
    <w:name w:val="DocTitle"/>
    <w:next w:val="body"/>
    <w:uiPriority w:val="9"/>
    <w:semiHidden/>
    <w:qFormat/>
    <w:rsid w:val="002C69CC"/>
    <w:pPr>
      <w:keepNext/>
      <w:keepLines/>
      <w:widowControl w:val="0"/>
      <w:spacing w:before="1200"/>
    </w:pPr>
    <w:rPr>
      <w:rFonts w:eastAsia="MS PGothic"/>
      <w:b/>
      <w:bCs/>
      <w:color w:val="2F5F95"/>
      <w:sz w:val="72"/>
      <w:szCs w:val="32"/>
      <w:lang w:val="en-GB"/>
    </w:rPr>
  </w:style>
  <w:style w:type="paragraph" w:styleId="TOC7">
    <w:name w:val="toc 7"/>
    <w:basedOn w:val="Normal"/>
    <w:next w:val="Normal"/>
    <w:autoRedefine/>
    <w:uiPriority w:val="39"/>
    <w:unhideWhenUsed/>
    <w:rsid w:val="008F3187"/>
    <w:pPr>
      <w:spacing w:after="0"/>
      <w:ind w:left="1320"/>
      <w:jc w:val="left"/>
    </w:pPr>
    <w:rPr>
      <w:sz w:val="20"/>
      <w:szCs w:val="20"/>
    </w:rPr>
  </w:style>
  <w:style w:type="paragraph" w:styleId="TOC8">
    <w:name w:val="toc 8"/>
    <w:basedOn w:val="Normal"/>
    <w:next w:val="Normal"/>
    <w:autoRedefine/>
    <w:uiPriority w:val="39"/>
    <w:unhideWhenUsed/>
    <w:rsid w:val="008F3187"/>
    <w:pPr>
      <w:spacing w:after="0"/>
      <w:ind w:left="1540"/>
      <w:jc w:val="left"/>
    </w:pPr>
    <w:rPr>
      <w:sz w:val="20"/>
      <w:szCs w:val="20"/>
    </w:rPr>
  </w:style>
  <w:style w:type="paragraph" w:styleId="TOC9">
    <w:name w:val="toc 9"/>
    <w:basedOn w:val="Normal"/>
    <w:next w:val="Normal"/>
    <w:autoRedefine/>
    <w:uiPriority w:val="39"/>
    <w:unhideWhenUsed/>
    <w:rsid w:val="008F3187"/>
    <w:pPr>
      <w:spacing w:after="0"/>
      <w:ind w:left="1760"/>
      <w:jc w:val="left"/>
    </w:pPr>
    <w:rPr>
      <w:sz w:val="20"/>
      <w:szCs w:val="20"/>
    </w:rPr>
  </w:style>
  <w:style w:type="table" w:styleId="MediumGrid3-Accent3">
    <w:name w:val="Medium Grid 3 Accent 3"/>
    <w:aliases w:val="SESAR 2020 Table Style"/>
    <w:basedOn w:val="TableNormal"/>
    <w:uiPriority w:val="69"/>
    <w:rsid w:val="00BC5247"/>
    <w:tblPr>
      <w:tblStyleRowBandSize w:val="1"/>
      <w:tblStyleColBandSize w:val="1"/>
      <w:tblBorders>
        <w:top w:val="single" w:sz="4" w:space="0" w:color="4E88C7"/>
        <w:left w:val="single" w:sz="4" w:space="0" w:color="4E88C7"/>
        <w:bottom w:val="single" w:sz="4" w:space="0" w:color="4E88C7"/>
        <w:right w:val="single" w:sz="4" w:space="0" w:color="4E88C7"/>
        <w:insideH w:val="single" w:sz="4" w:space="0" w:color="4E88C7"/>
        <w:insideV w:val="dotted" w:sz="4" w:space="0" w:color="4E88C7"/>
      </w:tblBorders>
    </w:tblPr>
    <w:tcPr>
      <w:shd w:val="clear" w:color="auto" w:fill="auto"/>
    </w:tcPr>
    <w:tblStylePr w:type="firstRow">
      <w:pPr>
        <w:jc w:val="center"/>
      </w:pPr>
      <w:rPr>
        <w:b/>
        <w:bCs/>
        <w:i w:val="0"/>
        <w:iCs w:val="0"/>
        <w:color w:val="FFFFFF"/>
      </w:rPr>
      <w:tblPr/>
      <w:tcPr>
        <w:tcBorders>
          <w:top w:val="nil"/>
          <w:left w:val="nil"/>
          <w:bottom w:val="single" w:sz="12" w:space="0" w:color="4E88C7"/>
          <w:right w:val="nil"/>
          <w:insideH w:val="nil"/>
          <w:insideV w:val="nil"/>
          <w:tl2br w:val="nil"/>
          <w:tr2bl w:val="nil"/>
        </w:tcBorders>
        <w:shd w:val="clear" w:color="auto" w:fill="DBE7F3"/>
      </w:tcPr>
    </w:tblStylePr>
    <w:tblStylePr w:type="lastRow">
      <w:rPr>
        <w:b w:val="0"/>
        <w:bCs/>
        <w:i w:val="0"/>
        <w:iCs w:val="0"/>
        <w:color w:val="FFFFFF"/>
      </w:rPr>
      <w:tblPr/>
      <w:tcPr>
        <w:tcBorders>
          <w:top w:val="nil"/>
          <w:bottom w:val="single" w:sz="8" w:space="0" w:color="4E88C7"/>
        </w:tcBorders>
        <w:shd w:val="clear" w:color="auto" w:fill="auto"/>
      </w:tcPr>
    </w:tblStylePr>
    <w:tblStylePr w:type="firstCol">
      <w:rPr>
        <w:b w:val="0"/>
        <w:bCs/>
        <w:i w:val="0"/>
        <w:iCs w:val="0"/>
        <w:color w:val="FFFFFF"/>
      </w:rPr>
      <w:tblPr/>
      <w:tcPr>
        <w:tcBorders>
          <w:right w:val="nil"/>
        </w:tcBorders>
        <w:shd w:val="clear" w:color="auto" w:fill="auto"/>
      </w:tcPr>
    </w:tblStylePr>
    <w:tblStylePr w:type="lastCol">
      <w:rPr>
        <w:b w:val="0"/>
        <w:bCs/>
        <w:i w:val="0"/>
        <w:iCs w:val="0"/>
        <w:color w:val="FFFFFF"/>
      </w:rPr>
      <w:tblPr/>
      <w:tcPr>
        <w:tcBorders>
          <w:right w:val="nil"/>
        </w:tcBorders>
        <w:shd w:val="clear" w:color="auto" w:fill="auto"/>
      </w:tcPr>
    </w:tblStylePr>
    <w:tblStylePr w:type="band1Vert">
      <w:tblPr/>
      <w:tcPr>
        <w:tcBorders>
          <w:top w:val="nil"/>
          <w:left w:val="single" w:sz="4" w:space="0" w:color="4E88C7"/>
          <w:bottom w:val="single" w:sz="4" w:space="0" w:color="4E88C7"/>
          <w:right w:val="single" w:sz="4" w:space="0" w:color="4E88C7"/>
          <w:insideH w:val="nil"/>
          <w:insideV w:val="single" w:sz="4" w:space="0" w:color="4E88C7"/>
        </w:tcBorders>
        <w:shd w:val="clear" w:color="auto" w:fill="auto"/>
      </w:tcPr>
    </w:tblStylePr>
    <w:tblStylePr w:type="band2Vert">
      <w:tblPr/>
      <w:tcPr>
        <w:tcBorders>
          <w:left w:val="single" w:sz="4" w:space="0" w:color="4E88C7"/>
          <w:bottom w:val="single" w:sz="4" w:space="0" w:color="4E88C7"/>
          <w:right w:val="single" w:sz="4" w:space="0" w:color="4E88C7"/>
        </w:tcBorders>
        <w:shd w:val="clear" w:color="auto" w:fill="auto"/>
      </w:tcPr>
    </w:tblStylePr>
    <w:tblStylePr w:type="band1Horz">
      <w:tblPr/>
      <w:tcPr>
        <w:tcBorders>
          <w:top w:val="dotted" w:sz="4" w:space="0" w:color="4E88C7"/>
          <w:left w:val="nil"/>
          <w:bottom w:val="dotted" w:sz="4" w:space="0" w:color="4E88C7"/>
          <w:right w:val="nil"/>
          <w:insideH w:val="nil"/>
          <w:insideV w:val="dotted" w:sz="4" w:space="0" w:color="4E88C7"/>
          <w:tl2br w:val="nil"/>
          <w:tr2bl w:val="nil"/>
        </w:tcBorders>
        <w:shd w:val="clear" w:color="auto" w:fill="auto"/>
      </w:tcPr>
    </w:tblStylePr>
    <w:tblStylePr w:type="band2Horz">
      <w:tblPr/>
      <w:tcPr>
        <w:tcBorders>
          <w:top w:val="single" w:sz="4" w:space="0" w:color="4E88C7"/>
          <w:left w:val="nil"/>
          <w:bottom w:val="single" w:sz="4" w:space="0" w:color="4E88C7"/>
          <w:right w:val="nil"/>
        </w:tcBorders>
        <w:shd w:val="clear" w:color="auto" w:fill="auto"/>
      </w:tcPr>
    </w:tblStylePr>
  </w:style>
  <w:style w:type="paragraph" w:styleId="Caption">
    <w:name w:val="caption"/>
    <w:basedOn w:val="Normal"/>
    <w:next w:val="BodyText"/>
    <w:uiPriority w:val="2"/>
    <w:qFormat/>
    <w:rsid w:val="00A4045F"/>
    <w:rPr>
      <w:b/>
      <w:bCs/>
      <w:sz w:val="20"/>
      <w:szCs w:val="20"/>
    </w:rPr>
  </w:style>
  <w:style w:type="paragraph" w:styleId="TableofFigures">
    <w:name w:val="table of figures"/>
    <w:basedOn w:val="Normal"/>
    <w:next w:val="Normal"/>
    <w:uiPriority w:val="99"/>
    <w:unhideWhenUsed/>
    <w:rsid w:val="00A4045F"/>
  </w:style>
  <w:style w:type="paragraph" w:customStyle="1" w:styleId="Guidance">
    <w:name w:val="Guidance"/>
    <w:basedOn w:val="BodyText0"/>
    <w:link w:val="GuidanceCar"/>
    <w:uiPriority w:val="6"/>
    <w:qFormat/>
    <w:rsid w:val="00B72EA3"/>
    <w:pPr>
      <w:spacing w:before="60" w:after="60"/>
    </w:pPr>
    <w:rPr>
      <w:i/>
      <w:iCs/>
      <w:vanish/>
      <w:color w:val="333399"/>
      <w:sz w:val="18"/>
    </w:rPr>
  </w:style>
  <w:style w:type="character" w:customStyle="1" w:styleId="GuidanceCar">
    <w:name w:val="Guidance Car"/>
    <w:link w:val="Guidance"/>
    <w:uiPriority w:val="6"/>
    <w:rsid w:val="00B72EA3"/>
    <w:rPr>
      <w:i/>
      <w:iCs/>
      <w:vanish/>
      <w:color w:val="333399"/>
      <w:sz w:val="18"/>
      <w:szCs w:val="22"/>
      <w:lang w:eastAsia="en-US"/>
    </w:rPr>
  </w:style>
  <w:style w:type="paragraph" w:customStyle="1" w:styleId="GuidanceBold">
    <w:name w:val="Guidance Bold"/>
    <w:basedOn w:val="Normal"/>
    <w:link w:val="GuidanceBoldCarCar"/>
    <w:uiPriority w:val="6"/>
    <w:qFormat/>
    <w:rsid w:val="00B72EA3"/>
    <w:pPr>
      <w:spacing w:before="120" w:after="120"/>
    </w:pPr>
    <w:rPr>
      <w:b/>
      <w:bCs/>
      <w:i/>
      <w:iCs/>
      <w:vanish/>
      <w:color w:val="333399"/>
      <w:sz w:val="18"/>
    </w:rPr>
  </w:style>
  <w:style w:type="character" w:customStyle="1" w:styleId="GuidanceBoldCarCar">
    <w:name w:val="Guidance Bold Car Car"/>
    <w:link w:val="GuidanceBold"/>
    <w:uiPriority w:val="6"/>
    <w:rsid w:val="00B72EA3"/>
    <w:rPr>
      <w:b/>
      <w:bCs/>
      <w:i/>
      <w:iCs/>
      <w:vanish/>
      <w:color w:val="333399"/>
      <w:sz w:val="18"/>
      <w:szCs w:val="22"/>
      <w:lang w:eastAsia="en-US"/>
    </w:rPr>
  </w:style>
  <w:style w:type="paragraph" w:customStyle="1" w:styleId="TableTitle">
    <w:name w:val="Table Title"/>
    <w:basedOn w:val="BodyText0"/>
    <w:uiPriority w:val="8"/>
    <w:rsid w:val="00823F8C"/>
    <w:pPr>
      <w:jc w:val="center"/>
    </w:pPr>
    <w:rPr>
      <w:b/>
    </w:rPr>
  </w:style>
  <w:style w:type="character" w:styleId="BookTitle">
    <w:name w:val="Book Title"/>
    <w:uiPriority w:val="33"/>
    <w:rsid w:val="00C25418"/>
    <w:rPr>
      <w:b/>
      <w:bCs/>
      <w:smallCaps/>
      <w:spacing w:val="5"/>
    </w:rPr>
  </w:style>
  <w:style w:type="paragraph" w:customStyle="1" w:styleId="References">
    <w:name w:val="References"/>
    <w:basedOn w:val="BodyText"/>
    <w:link w:val="ReferencesChar"/>
    <w:uiPriority w:val="1"/>
    <w:qFormat/>
    <w:rsid w:val="00543237"/>
    <w:pPr>
      <w:numPr>
        <w:numId w:val="23"/>
      </w:numPr>
      <w:tabs>
        <w:tab w:val="left" w:pos="851"/>
      </w:tabs>
      <w:ind w:left="851" w:hanging="494"/>
    </w:pPr>
    <w:rPr>
      <w:lang w:eastAsia="en-GB"/>
    </w:rPr>
  </w:style>
  <w:style w:type="paragraph" w:customStyle="1" w:styleId="Listlevel2">
    <w:name w:val="List level 2"/>
    <w:basedOn w:val="ListParagraph"/>
    <w:link w:val="Listlevel2Char"/>
    <w:uiPriority w:val="1"/>
    <w:qFormat/>
    <w:rsid w:val="001C04D6"/>
    <w:pPr>
      <w:numPr>
        <w:ilvl w:val="1"/>
      </w:numPr>
    </w:pPr>
    <w:rPr>
      <w:lang w:eastAsia="en-GB"/>
    </w:rPr>
  </w:style>
  <w:style w:type="character" w:customStyle="1" w:styleId="BodyTextChar">
    <w:name w:val="BodyText Char"/>
    <w:link w:val="BodyText"/>
    <w:qFormat/>
    <w:rsid w:val="00442B3E"/>
    <w:rPr>
      <w:color w:val="59666D"/>
      <w:sz w:val="22"/>
      <w:szCs w:val="22"/>
      <w:lang w:eastAsia="en-US"/>
    </w:rPr>
  </w:style>
  <w:style w:type="character" w:customStyle="1" w:styleId="ReferencesChar">
    <w:name w:val="References Char"/>
    <w:link w:val="References"/>
    <w:uiPriority w:val="1"/>
    <w:rsid w:val="00543237"/>
    <w:rPr>
      <w:color w:val="59666D"/>
      <w:sz w:val="22"/>
      <w:szCs w:val="22"/>
      <w:lang w:eastAsia="en-US"/>
    </w:rPr>
  </w:style>
  <w:style w:type="table" w:styleId="MediumGrid3-Accent4">
    <w:name w:val="Medium Grid 3 Accent 4"/>
    <w:basedOn w:val="TableNormal"/>
    <w:uiPriority w:val="69"/>
    <w:rsid w:val="00315A7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5D7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63D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63D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63D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63D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BAF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BAFFF"/>
      </w:tcPr>
    </w:tblStylePr>
  </w:style>
  <w:style w:type="character" w:customStyle="1" w:styleId="ListParagraphChar">
    <w:name w:val="List Paragraph Char"/>
    <w:aliases w:val="Titulo 2 Char,Heading 2_sj Char,Numbered Para 1 Char,Dot pt Char,No Spacing1 Char,List Paragraph Char Char Char Char,Indicator Text Char,List Paragraph1 Char,Bullet Points Char,MAIN CONTENT Char,Lista viñetas Char,Akapit z listą Char"/>
    <w:link w:val="ListParagraph"/>
    <w:qFormat/>
    <w:rsid w:val="001C04D6"/>
    <w:rPr>
      <w:color w:val="59666D"/>
      <w:sz w:val="22"/>
      <w:szCs w:val="22"/>
      <w:lang w:eastAsia="en-US"/>
    </w:rPr>
  </w:style>
  <w:style w:type="character" w:customStyle="1" w:styleId="Listlevel2Char">
    <w:name w:val="List level 2 Char"/>
    <w:link w:val="Listlevel2"/>
    <w:uiPriority w:val="1"/>
    <w:rsid w:val="001C04D6"/>
    <w:rPr>
      <w:color w:val="59666D"/>
      <w:sz w:val="22"/>
      <w:szCs w:val="22"/>
      <w:lang w:eastAsia="en-US"/>
    </w:rPr>
  </w:style>
  <w:style w:type="paragraph" w:customStyle="1" w:styleId="GuidanceBullet2">
    <w:name w:val="Guidance Bullet 2"/>
    <w:basedOn w:val="Normal"/>
    <w:next w:val="Guidance"/>
    <w:uiPriority w:val="6"/>
    <w:qFormat/>
    <w:rsid w:val="00642F0A"/>
    <w:pPr>
      <w:numPr>
        <w:numId w:val="24"/>
      </w:numPr>
      <w:spacing w:before="60" w:after="60"/>
    </w:pPr>
    <w:rPr>
      <w:i/>
      <w:iCs/>
      <w:color w:val="333399"/>
      <w:sz w:val="18"/>
      <w:szCs w:val="20"/>
    </w:rPr>
  </w:style>
  <w:style w:type="paragraph" w:customStyle="1" w:styleId="GuidanceBullet">
    <w:name w:val="Guidance Bullet"/>
    <w:basedOn w:val="Guidance"/>
    <w:link w:val="GuidanceBulletCar"/>
    <w:uiPriority w:val="6"/>
    <w:qFormat/>
    <w:rsid w:val="00642F0A"/>
    <w:pPr>
      <w:numPr>
        <w:numId w:val="25"/>
      </w:numPr>
    </w:pPr>
    <w:rPr>
      <w:szCs w:val="20"/>
    </w:rPr>
  </w:style>
  <w:style w:type="character" w:customStyle="1" w:styleId="GuidanceBulletCar">
    <w:name w:val="Guidance Bullet Car"/>
    <w:link w:val="GuidanceBullet"/>
    <w:uiPriority w:val="6"/>
    <w:rsid w:val="00642F0A"/>
    <w:rPr>
      <w:i/>
      <w:iCs/>
      <w:color w:val="333399"/>
      <w:sz w:val="18"/>
      <w:lang w:eastAsia="en-US"/>
    </w:rPr>
  </w:style>
  <w:style w:type="character" w:styleId="Emphasis">
    <w:name w:val="Emphasis"/>
    <w:uiPriority w:val="20"/>
    <w:qFormat/>
    <w:rsid w:val="00E306EC"/>
    <w:rPr>
      <w:i/>
      <w:iCs/>
    </w:rPr>
  </w:style>
  <w:style w:type="character" w:styleId="Strong">
    <w:name w:val="Strong"/>
    <w:uiPriority w:val="5"/>
    <w:qFormat/>
    <w:rsid w:val="00E306EC"/>
    <w:rPr>
      <w:b/>
      <w:bCs/>
    </w:rPr>
  </w:style>
  <w:style w:type="character" w:styleId="IntenseEmphasis">
    <w:name w:val="Intense Emphasis"/>
    <w:uiPriority w:val="5"/>
    <w:qFormat/>
    <w:rsid w:val="00E306EC"/>
    <w:rPr>
      <w:b/>
      <w:bCs/>
      <w:i/>
      <w:iCs/>
      <w:color w:val="4E88C7"/>
    </w:rPr>
  </w:style>
  <w:style w:type="paragraph" w:styleId="FootnoteText">
    <w:name w:val="footnote text"/>
    <w:aliases w:val="Schriftart: 9 pt,Schriftart: 10 pt,Schriftart: 8 pt,WB-Fußnotentext,fn,Footnotes,Footnote ak,FoodNote,ft,Footnote,Footnote Text Char1,Footnote Text Char Char,Footnote Text Char1 Char Char"/>
    <w:basedOn w:val="Normal"/>
    <w:link w:val="FootnoteTextChar"/>
    <w:uiPriority w:val="99"/>
    <w:rsid w:val="00671759"/>
    <w:rPr>
      <w:sz w:val="20"/>
      <w:szCs w:val="20"/>
    </w:rPr>
  </w:style>
  <w:style w:type="character" w:customStyle="1" w:styleId="FootnoteTextChar">
    <w:name w:val="Footnote Text Char"/>
    <w:aliases w:val="Schriftart: 9 pt Char,Schriftart: 10 pt Char,Schriftart: 8 pt Char,WB-Fußnotentext Char,fn Char,Footnotes Char,Footnote ak Char,FoodNote Char,ft Char,Footnote Char,Footnote Text Char1 Char,Footnote Text Char Char Char"/>
    <w:link w:val="FootnoteText"/>
    <w:uiPriority w:val="99"/>
    <w:rsid w:val="00671759"/>
    <w:rPr>
      <w:color w:val="59666D"/>
      <w:lang w:eastAsia="en-US"/>
    </w:rPr>
  </w:style>
  <w:style w:type="character" w:styleId="FootnoteReference">
    <w:name w:val="footnote reference"/>
    <w:aliases w:val="Footnote symbol,Times 10 Point,Exposant 3 Point"/>
    <w:uiPriority w:val="99"/>
    <w:semiHidden/>
    <w:unhideWhenUsed/>
    <w:rsid w:val="00671759"/>
    <w:rPr>
      <w:vertAlign w:val="superscript"/>
    </w:rPr>
  </w:style>
  <w:style w:type="paragraph" w:customStyle="1" w:styleId="SJUTitleSyle">
    <w:name w:val="SJUTitleSyle"/>
    <w:basedOn w:val="CoverTitle"/>
    <w:uiPriority w:val="9"/>
    <w:qFormat/>
    <w:rsid w:val="00E0421A"/>
    <w:pPr>
      <w:framePr w:wrap="around"/>
    </w:pPr>
  </w:style>
  <w:style w:type="paragraph" w:customStyle="1" w:styleId="SJUEditionStyle">
    <w:name w:val="SJUEditionStyle"/>
    <w:basedOn w:val="CoverData"/>
    <w:uiPriority w:val="9"/>
    <w:qFormat/>
    <w:rsid w:val="00DD1591"/>
  </w:style>
  <w:style w:type="character" w:styleId="FollowedHyperlink">
    <w:name w:val="FollowedHyperlink"/>
    <w:uiPriority w:val="99"/>
    <w:semiHidden/>
    <w:unhideWhenUsed/>
    <w:rsid w:val="003819C0"/>
    <w:rPr>
      <w:color w:val="800080"/>
      <w:u w:val="single"/>
    </w:rPr>
  </w:style>
  <w:style w:type="character" w:styleId="CommentReference">
    <w:name w:val="annotation reference"/>
    <w:uiPriority w:val="99"/>
    <w:semiHidden/>
    <w:unhideWhenUsed/>
    <w:rsid w:val="004D6CC8"/>
    <w:rPr>
      <w:sz w:val="16"/>
      <w:szCs w:val="16"/>
    </w:rPr>
  </w:style>
  <w:style w:type="paragraph" w:styleId="CommentText">
    <w:name w:val="annotation text"/>
    <w:basedOn w:val="Normal"/>
    <w:link w:val="CommentTextChar"/>
    <w:uiPriority w:val="99"/>
    <w:unhideWhenUsed/>
    <w:rsid w:val="004D6CC8"/>
    <w:rPr>
      <w:sz w:val="20"/>
      <w:szCs w:val="20"/>
    </w:rPr>
  </w:style>
  <w:style w:type="character" w:customStyle="1" w:styleId="CommentTextChar">
    <w:name w:val="Comment Text Char"/>
    <w:link w:val="CommentText"/>
    <w:uiPriority w:val="99"/>
    <w:rsid w:val="004D6CC8"/>
    <w:rPr>
      <w:color w:val="59666D"/>
      <w:lang w:eastAsia="en-US"/>
    </w:rPr>
  </w:style>
  <w:style w:type="paragraph" w:styleId="CommentSubject">
    <w:name w:val="annotation subject"/>
    <w:basedOn w:val="CommentText"/>
    <w:next w:val="CommentText"/>
    <w:link w:val="CommentSubjectChar"/>
    <w:uiPriority w:val="99"/>
    <w:semiHidden/>
    <w:unhideWhenUsed/>
    <w:rsid w:val="004D6CC8"/>
    <w:rPr>
      <w:b/>
      <w:bCs/>
    </w:rPr>
  </w:style>
  <w:style w:type="character" w:customStyle="1" w:styleId="CommentSubjectChar">
    <w:name w:val="Comment Subject Char"/>
    <w:link w:val="CommentSubject"/>
    <w:uiPriority w:val="99"/>
    <w:semiHidden/>
    <w:rsid w:val="004D6CC8"/>
    <w:rPr>
      <w:b/>
      <w:bCs/>
      <w:color w:val="59666D"/>
      <w:lang w:eastAsia="en-US"/>
    </w:rPr>
  </w:style>
  <w:style w:type="paragraph" w:styleId="Bibliography">
    <w:name w:val="Bibliography"/>
    <w:basedOn w:val="Normal"/>
    <w:next w:val="Normal"/>
    <w:uiPriority w:val="37"/>
    <w:unhideWhenUsed/>
    <w:rsid w:val="00821405"/>
    <w:pPr>
      <w:tabs>
        <w:tab w:val="left" w:pos="620"/>
      </w:tabs>
      <w:spacing w:after="0"/>
      <w:ind w:left="624" w:hanging="624"/>
      <w:jc w:val="left"/>
    </w:pPr>
    <w:rPr>
      <w:rFonts w:ascii="Times New Roman" w:eastAsia="Times New Roman" w:hAnsi="Times New Roman"/>
      <w:color w:val="auto"/>
      <w:sz w:val="24"/>
      <w:szCs w:val="24"/>
      <w:lang w:val="en-US" w:eastAsia="en-GB" w:bidi="bn-IN"/>
    </w:rPr>
  </w:style>
  <w:style w:type="paragraph" w:styleId="NormalWeb">
    <w:name w:val="Normal (Web)"/>
    <w:basedOn w:val="Normal"/>
    <w:link w:val="NormalWebChar"/>
    <w:uiPriority w:val="99"/>
    <w:unhideWhenUsed/>
    <w:rsid w:val="00821405"/>
    <w:pPr>
      <w:spacing w:before="100" w:beforeAutospacing="1" w:after="100" w:afterAutospacing="1"/>
      <w:jc w:val="left"/>
    </w:pPr>
    <w:rPr>
      <w:rFonts w:ascii="Times New Roman" w:eastAsia="Times New Roman" w:hAnsi="Times New Roman"/>
      <w:color w:val="auto"/>
      <w:sz w:val="24"/>
      <w:szCs w:val="24"/>
      <w:lang w:val="sv-SE" w:eastAsia="sv-SE" w:bidi="bn-IN"/>
    </w:rPr>
  </w:style>
  <w:style w:type="character" w:customStyle="1" w:styleId="NormalWebChar">
    <w:name w:val="Normal (Web) Char"/>
    <w:basedOn w:val="DefaultParagraphFont"/>
    <w:link w:val="NormalWeb"/>
    <w:uiPriority w:val="99"/>
    <w:rsid w:val="00821405"/>
    <w:rPr>
      <w:rFonts w:ascii="Times New Roman" w:eastAsia="Times New Roman" w:hAnsi="Times New Roman"/>
      <w:sz w:val="24"/>
      <w:szCs w:val="24"/>
      <w:lang w:val="sv-SE" w:eastAsia="sv-SE" w:bidi="bn-IN"/>
    </w:rPr>
  </w:style>
  <w:style w:type="paragraph" w:customStyle="1" w:styleId="EndNoteBibliography">
    <w:name w:val="EndNote Bibliography"/>
    <w:basedOn w:val="Normal"/>
    <w:link w:val="EndNoteBibliographyChar"/>
    <w:rsid w:val="00821405"/>
    <w:pPr>
      <w:spacing w:after="160"/>
      <w:jc w:val="left"/>
    </w:pPr>
    <w:rPr>
      <w:rFonts w:ascii="Times New Roman" w:eastAsiaTheme="minorHAnsi" w:hAnsi="Times New Roman" w:cs="Calibri"/>
      <w:noProof/>
      <w:color w:val="auto"/>
      <w:sz w:val="24"/>
      <w:szCs w:val="24"/>
      <w:lang w:val="sv-SE" w:eastAsia="sv-SE" w:bidi="bn-IN"/>
    </w:rPr>
  </w:style>
  <w:style w:type="character" w:customStyle="1" w:styleId="EndNoteBibliographyChar">
    <w:name w:val="EndNote Bibliography Char"/>
    <w:basedOn w:val="NormalWebChar"/>
    <w:link w:val="EndNoteBibliography"/>
    <w:rsid w:val="00821405"/>
    <w:rPr>
      <w:rFonts w:ascii="Times New Roman" w:eastAsiaTheme="minorHAnsi" w:hAnsi="Times New Roman" w:cs="Calibri"/>
      <w:noProof/>
      <w:sz w:val="24"/>
      <w:szCs w:val="24"/>
      <w:lang w:val="sv-SE" w:eastAsia="sv-SE" w:bidi="bn-IN"/>
    </w:rPr>
  </w:style>
  <w:style w:type="character" w:styleId="EndnoteReference">
    <w:name w:val="endnote reference"/>
    <w:basedOn w:val="DefaultParagraphFont"/>
    <w:uiPriority w:val="99"/>
    <w:semiHidden/>
    <w:unhideWhenUsed/>
    <w:rsid w:val="00821405"/>
    <w:rPr>
      <w:vertAlign w:val="superscript"/>
    </w:rPr>
  </w:style>
  <w:style w:type="table" w:styleId="GridTable5Dark-Accent1">
    <w:name w:val="Grid Table 5 Dark Accent 1"/>
    <w:basedOn w:val="TableNormal"/>
    <w:uiPriority w:val="50"/>
    <w:rsid w:val="00821405"/>
    <w:rPr>
      <w:rFonts w:asciiTheme="minorHAnsi" w:eastAsiaTheme="minorEastAsia" w:hAnsiTheme="minorHAnsi" w:cstheme="minorBidi"/>
      <w:sz w:val="22"/>
      <w:szCs w:val="22"/>
      <w:lang w:val="en-GB"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821405"/>
    <w:rPr>
      <w:rFonts w:asciiTheme="minorHAnsi" w:eastAsiaTheme="minorEastAsia" w:hAnsiTheme="minorHAnsi" w:cstheme="minorBidi"/>
      <w:sz w:val="22"/>
      <w:szCs w:val="22"/>
      <w:lang w:val="en-GB"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paragraph">
    <w:name w:val="paragraph"/>
    <w:basedOn w:val="Normal"/>
    <w:rsid w:val="00821405"/>
    <w:pPr>
      <w:spacing w:before="100" w:beforeAutospacing="1" w:after="100" w:afterAutospacing="1"/>
      <w:jc w:val="left"/>
    </w:pPr>
    <w:rPr>
      <w:rFonts w:ascii="Times New Roman" w:eastAsia="Times New Roman" w:hAnsi="Times New Roman"/>
      <w:color w:val="auto"/>
      <w:sz w:val="24"/>
      <w:szCs w:val="24"/>
      <w:lang w:val="fr-FR" w:eastAsia="fr-FR" w:bidi="bn-IN"/>
    </w:rPr>
  </w:style>
  <w:style w:type="character" w:customStyle="1" w:styleId="normaltextrun">
    <w:name w:val="normaltextrun"/>
    <w:basedOn w:val="DefaultParagraphFont"/>
    <w:rsid w:val="00821405"/>
  </w:style>
  <w:style w:type="character" w:customStyle="1" w:styleId="eop">
    <w:name w:val="eop"/>
    <w:basedOn w:val="DefaultParagraphFont"/>
    <w:rsid w:val="00821405"/>
  </w:style>
  <w:style w:type="character" w:styleId="UnresolvedMention">
    <w:name w:val="Unresolved Mention"/>
    <w:basedOn w:val="DefaultParagraphFont"/>
    <w:uiPriority w:val="99"/>
    <w:unhideWhenUsed/>
    <w:rsid w:val="00821405"/>
    <w:rPr>
      <w:color w:val="605E5C"/>
      <w:shd w:val="clear" w:color="auto" w:fill="E1DFDD"/>
    </w:rPr>
  </w:style>
  <w:style w:type="paragraph" w:customStyle="1" w:styleId="Default">
    <w:name w:val="Default"/>
    <w:rsid w:val="00821405"/>
    <w:pPr>
      <w:autoSpaceDE w:val="0"/>
      <w:autoSpaceDN w:val="0"/>
      <w:adjustRightInd w:val="0"/>
    </w:pPr>
    <w:rPr>
      <w:rFonts w:ascii="Times New Roman" w:eastAsiaTheme="minorHAnsi" w:hAnsi="Times New Roman"/>
      <w:color w:val="000000"/>
      <w:sz w:val="24"/>
      <w:szCs w:val="24"/>
      <w:lang w:val="en-GB" w:bidi="bn-IN"/>
    </w:rPr>
  </w:style>
  <w:style w:type="character" w:customStyle="1" w:styleId="tabchar">
    <w:name w:val="tabchar"/>
    <w:basedOn w:val="DefaultParagraphFont"/>
    <w:rsid w:val="00821405"/>
  </w:style>
  <w:style w:type="table" w:styleId="GridTable4-Accent2">
    <w:name w:val="Grid Table 4 Accent 2"/>
    <w:basedOn w:val="TableNormal"/>
    <w:uiPriority w:val="49"/>
    <w:rsid w:val="00821405"/>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2">
    <w:name w:val="Grid Table 2 Accent 2"/>
    <w:basedOn w:val="TableNormal"/>
    <w:uiPriority w:val="47"/>
    <w:rsid w:val="00821405"/>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Revision">
    <w:name w:val="Revision"/>
    <w:hidden/>
    <w:uiPriority w:val="99"/>
    <w:semiHidden/>
    <w:rsid w:val="00821405"/>
    <w:rPr>
      <w:color w:val="59666D"/>
      <w:sz w:val="22"/>
      <w:szCs w:val="22"/>
      <w:lang w:val="en-GB"/>
    </w:rPr>
  </w:style>
  <w:style w:type="table" w:styleId="GridTable6ColourfulAccent1">
    <w:name w:val="Grid Table 6 Colorful Accent 1"/>
    <w:basedOn w:val="TableNormal"/>
    <w:uiPriority w:val="51"/>
    <w:rsid w:val="00821405"/>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urfulAccent6">
    <w:name w:val="Grid Table 6 Colorful Accent 6"/>
    <w:basedOn w:val="TableNormal"/>
    <w:uiPriority w:val="51"/>
    <w:rsid w:val="00821405"/>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urfulAccent6">
    <w:name w:val="Grid Table 7 Colorful Accent 6"/>
    <w:basedOn w:val="TableNormal"/>
    <w:uiPriority w:val="52"/>
    <w:rsid w:val="00821405"/>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1LightAccent2">
    <w:name w:val="Grid Table 1 Light Accent 2"/>
    <w:basedOn w:val="TableNormal"/>
    <w:uiPriority w:val="46"/>
    <w:rsid w:val="008214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styleId="Mention">
    <w:name w:val="Mention"/>
    <w:basedOn w:val="DefaultParagraphFont"/>
    <w:uiPriority w:val="99"/>
    <w:unhideWhenUsed/>
    <w:rsid w:val="00821405"/>
    <w:rPr>
      <w:color w:val="2B579A"/>
      <w:shd w:val="clear" w:color="auto" w:fill="E1DFDD"/>
    </w:rPr>
  </w:style>
  <w:style w:type="character" w:customStyle="1" w:styleId="texhtml">
    <w:name w:val="texhtml"/>
    <w:basedOn w:val="DefaultParagraphFont"/>
    <w:rsid w:val="00821405"/>
  </w:style>
  <w:style w:type="character" w:customStyle="1" w:styleId="fontstyle01">
    <w:name w:val="fontstyle01"/>
    <w:basedOn w:val="DefaultParagraphFont"/>
    <w:rsid w:val="00821405"/>
    <w:rPr>
      <w:rFonts w:ascii="CairoFont-2-0" w:hAnsi="CairoFont-2-0" w:hint="default"/>
      <w:b w:val="0"/>
      <w:bCs w:val="0"/>
      <w:i w:val="0"/>
      <w:iCs w:val="0"/>
      <w:color w:val="18191C"/>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7780977">
      <w:bodyDiv w:val="1"/>
      <w:marLeft w:val="0"/>
      <w:marRight w:val="0"/>
      <w:marTop w:val="0"/>
      <w:marBottom w:val="0"/>
      <w:divBdr>
        <w:top w:val="none" w:sz="0" w:space="0" w:color="auto"/>
        <w:left w:val="none" w:sz="0" w:space="0" w:color="auto"/>
        <w:bottom w:val="none" w:sz="0" w:space="0" w:color="auto"/>
        <w:right w:val="none" w:sz="0" w:space="0" w:color="auto"/>
      </w:divBdr>
    </w:div>
    <w:div w:id="2007173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extension://efaidnbmnnnibpcajpcglclefindmkaj/viewer.html?pdfurl=https%3A%2F%2Fec.europa.eu%2Fresearch%2Fparticipants%2Fdata%2Fsupport%2Flegal_notice%2Fh2020-ssps-grants-sedia_en.pdf&amp;clen=298303&amp;chunk=true"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3.emf"/></Relationships>
</file>

<file path=word/_rels/foot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3" Type="http://schemas.openxmlformats.org/officeDocument/2006/relationships/image" Target="media/image12.jpg"/><Relationship Id="rId2" Type="http://schemas.openxmlformats.org/officeDocument/2006/relationships/hyperlink" Target="https://www.sesarju.eu/" TargetMode="External"/><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agieu\AppData\Local\Microsoft\Windows\INetCache\IE\2I93AX3E\Industrial%20Research%20Document%20template%20(2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143D637334B5A439D8DCCAE7E34CDF9" ma:contentTypeVersion="33" ma:contentTypeDescription="Create a new document." ma:contentTypeScope="" ma:versionID="79f596548c98053663d735170b12ec79">
  <xsd:schema xmlns:xsd="http://www.w3.org/2001/XMLSchema" xmlns:xs="http://www.w3.org/2001/XMLSchema" xmlns:p="http://schemas.microsoft.com/office/2006/metadata/properties" xmlns:ns2="cbadeb8c-8bdd-4ca1-b676-a822f30feeda" xmlns:ns3="bbdbec18-7f05-4cd4-ad21-a5cd445dddb7" targetNamespace="http://schemas.microsoft.com/office/2006/metadata/properties" ma:root="true" ma:fieldsID="cb749df7b9a1121b478d965b775b8a65" ns2:_="" ns3:_="">
    <xsd:import namespace="cbadeb8c-8bdd-4ca1-b676-a822f30feeda"/>
    <xsd:import namespace="bbdbec18-7f05-4cd4-ad21-a5cd445dddb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Teachers" minOccurs="0"/>
                <xsd:element ref="ns2:Students" minOccurs="0"/>
                <xsd:element ref="ns2:Student_Groups" minOccurs="0"/>
                <xsd:element ref="ns2:Distribution_Groups" minOccurs="0"/>
                <xsd:element ref="ns2:LMS_Mappings" minOccurs="0"/>
                <xsd:element ref="ns2:Invited_Teachers" minOccurs="0"/>
                <xsd:element ref="ns2:Invited_Students" minOccurs="0"/>
                <xsd:element ref="ns2:Self_Registration_Enabled" minOccurs="0"/>
                <xsd:element ref="ns2:Has_Teacher_Only_SectionGroup" minOccurs="0"/>
                <xsd:element ref="ns2:Is_Collaboration_Space_Locked" minOccurs="0"/>
                <xsd:element ref="ns2:IsNotebookLocked" minOccurs="0"/>
                <xsd:element ref="ns2:Teams_Channel_Section_Location"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adeb8c-8bdd-4ca1-b676-a822f30fee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NotebookType" ma:index="16" nillable="true" ma:displayName="Notebook Type" ma:internalName="NotebookType">
      <xsd:simpleType>
        <xsd:restriction base="dms:Text"/>
      </xsd:simpleType>
    </xsd:element>
    <xsd:element name="FolderType" ma:index="17" nillable="true" ma:displayName="Folder Type" ma:internalName="FolderType">
      <xsd:simpleType>
        <xsd:restriction base="dms:Text"/>
      </xsd:simpleType>
    </xsd:element>
    <xsd:element name="CultureName" ma:index="18" nillable="true" ma:displayName="Culture Name" ma:internalName="CultureName">
      <xsd:simpleType>
        <xsd:restriction base="dms:Text"/>
      </xsd:simpleType>
    </xsd:element>
    <xsd:element name="AppVersion" ma:index="19" nillable="true" ma:displayName="App Version" ma:internalName="AppVersion">
      <xsd:simpleType>
        <xsd:restriction base="dms:Text"/>
      </xsd:simpleType>
    </xsd:element>
    <xsd:element name="TeamsChannelId" ma:index="20" nillable="true" ma:displayName="Teams Channel Id" ma:internalName="TeamsChannelId">
      <xsd:simpleType>
        <xsd:restriction base="dms:Text"/>
      </xsd:simpleType>
    </xsd:element>
    <xsd:element name="Owner" ma:index="21"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2" nillable="true" ma:displayName="Math Settings" ma:internalName="Math_Settings">
      <xsd:simpleType>
        <xsd:restriction base="dms:Text"/>
      </xsd:simpleType>
    </xsd:element>
    <xsd:element name="DefaultSectionNames" ma:index="23" nillable="true" ma:displayName="Default Section Names" ma:internalName="DefaultSectionNames">
      <xsd:simpleType>
        <xsd:restriction base="dms:Note">
          <xsd:maxLength value="255"/>
        </xsd:restriction>
      </xsd:simpleType>
    </xsd:element>
    <xsd:element name="Templates" ma:index="24" nillable="true" ma:displayName="Templates" ma:internalName="Templates">
      <xsd:simpleType>
        <xsd:restriction base="dms:Note">
          <xsd:maxLength value="255"/>
        </xsd:restriction>
      </xsd:simpleType>
    </xsd:element>
    <xsd:element name="Teachers" ma:index="25"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6"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7"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8" nillable="true" ma:displayName="Distribution Groups" ma:internalName="Distribution_Groups">
      <xsd:simpleType>
        <xsd:restriction base="dms:Note">
          <xsd:maxLength value="255"/>
        </xsd:restriction>
      </xsd:simpleType>
    </xsd:element>
    <xsd:element name="LMS_Mappings" ma:index="29" nillable="true" ma:displayName="LMS Mappings" ma:internalName="LMS_Mappings">
      <xsd:simpleType>
        <xsd:restriction base="dms:Note">
          <xsd:maxLength value="255"/>
        </xsd:restriction>
      </xsd:simpleType>
    </xsd:element>
    <xsd:element name="Invited_Teachers" ma:index="30" nillable="true" ma:displayName="Invited Teachers" ma:internalName="Invited_Teachers">
      <xsd:simpleType>
        <xsd:restriction base="dms:Note">
          <xsd:maxLength value="255"/>
        </xsd:restriction>
      </xsd:simpleType>
    </xsd:element>
    <xsd:element name="Invited_Students" ma:index="31" nillable="true" ma:displayName="Invited Students" ma:internalName="Invited_Students">
      <xsd:simpleType>
        <xsd:restriction base="dms:Note">
          <xsd:maxLength value="255"/>
        </xsd:restriction>
      </xsd:simpleType>
    </xsd:element>
    <xsd:element name="Self_Registration_Enabled" ma:index="32" nillable="true" ma:displayName="Self Registration Enabled" ma:internalName="Self_Registration_Enabled">
      <xsd:simpleType>
        <xsd:restriction base="dms:Boolean"/>
      </xsd:simpleType>
    </xsd:element>
    <xsd:element name="Has_Teacher_Only_SectionGroup" ma:index="33" nillable="true" ma:displayName="Has Teacher Only SectionGroup" ma:internalName="Has_Teacher_Only_SectionGroup">
      <xsd:simpleType>
        <xsd:restriction base="dms:Boolean"/>
      </xsd:simpleType>
    </xsd:element>
    <xsd:element name="Is_Collaboration_Space_Locked" ma:index="34" nillable="true" ma:displayName="Is Collaboration Space Locked" ma:internalName="Is_Collaboration_Space_Locked">
      <xsd:simpleType>
        <xsd:restriction base="dms:Boolean"/>
      </xsd:simpleType>
    </xsd:element>
    <xsd:element name="IsNotebookLocked" ma:index="35" nillable="true" ma:displayName="Is Notebook Locked" ma:internalName="IsNotebookLocked">
      <xsd:simpleType>
        <xsd:restriction base="dms:Boolean"/>
      </xsd:simpleType>
    </xsd:element>
    <xsd:element name="Teams_Channel_Section_Location" ma:index="36" nillable="true" ma:displayName="Teams Channel Section Location" ma:internalName="Teams_Channel_Section_Location">
      <xsd:simpleType>
        <xsd:restriction base="dms:Text"/>
      </xsd:simpleType>
    </xsd:element>
    <xsd:element name="MediaServiceDateTaken" ma:index="37" nillable="true" ma:displayName="MediaServiceDateTaken" ma:hidden="true" ma:internalName="MediaServiceDateTaken" ma:readOnly="true">
      <xsd:simpleType>
        <xsd:restriction base="dms:Text"/>
      </xsd:simpleType>
    </xsd:element>
    <xsd:element name="MediaLengthInSeconds" ma:index="3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dbec18-7f05-4cd4-ad21-a5cd445dddb7" elementFormDefault="qualified">
    <xsd:import namespace="http://schemas.microsoft.com/office/2006/documentManagement/types"/>
    <xsd:import namespace="http://schemas.microsoft.com/office/infopath/2007/PartnerControls"/>
    <xsd:element name="SharedWithUsers" ma:index="3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wner xmlns="cbadeb8c-8bdd-4ca1-b676-a822f30feeda">
      <UserInfo>
        <DisplayName>Wim Post</DisplayName>
        <AccountId>117</AccountId>
        <AccountType/>
      </UserInfo>
    </Owner>
    <FolderType xmlns="cbadeb8c-8bdd-4ca1-b676-a822f30feeda" xsi:nil="true"/>
    <Has_Teacher_Only_SectionGroup xmlns="cbadeb8c-8bdd-4ca1-b676-a822f30feeda" xsi:nil="true"/>
    <TeamsChannelId xmlns="cbadeb8c-8bdd-4ca1-b676-a822f30feeda" xsi:nil="true"/>
    <Invited_Teachers xmlns="cbadeb8c-8bdd-4ca1-b676-a822f30feeda" xsi:nil="true"/>
    <Invited_Students xmlns="cbadeb8c-8bdd-4ca1-b676-a822f30feeda" xsi:nil="true"/>
    <IsNotebookLocked xmlns="cbadeb8c-8bdd-4ca1-b676-a822f30feeda" xsi:nil="true"/>
    <Teachers xmlns="cbadeb8c-8bdd-4ca1-b676-a822f30feeda">
      <UserInfo>
        <DisplayName/>
        <AccountId xsi:nil="true"/>
        <AccountType/>
      </UserInfo>
    </Teachers>
    <Distribution_Groups xmlns="cbadeb8c-8bdd-4ca1-b676-a822f30feeda" xsi:nil="true"/>
    <Templates xmlns="cbadeb8c-8bdd-4ca1-b676-a822f30feeda" xsi:nil="true"/>
    <Self_Registration_Enabled xmlns="cbadeb8c-8bdd-4ca1-b676-a822f30feeda" xsi:nil="true"/>
    <Teams_Channel_Section_Location xmlns="cbadeb8c-8bdd-4ca1-b676-a822f30feeda" xsi:nil="true"/>
    <LMS_Mappings xmlns="cbadeb8c-8bdd-4ca1-b676-a822f30feeda" xsi:nil="true"/>
    <CultureName xmlns="cbadeb8c-8bdd-4ca1-b676-a822f30feeda" xsi:nil="true"/>
    <DefaultSectionNames xmlns="cbadeb8c-8bdd-4ca1-b676-a822f30feeda" xsi:nil="true"/>
    <AppVersion xmlns="cbadeb8c-8bdd-4ca1-b676-a822f30feeda" xsi:nil="true"/>
    <NotebookType xmlns="cbadeb8c-8bdd-4ca1-b676-a822f30feeda" xsi:nil="true"/>
    <Student_Groups xmlns="cbadeb8c-8bdd-4ca1-b676-a822f30feeda">
      <UserInfo>
        <DisplayName/>
        <AccountId xsi:nil="true"/>
        <AccountType/>
      </UserInfo>
    </Student_Groups>
    <Students xmlns="cbadeb8c-8bdd-4ca1-b676-a822f30feeda">
      <UserInfo>
        <DisplayName/>
        <AccountId xsi:nil="true"/>
        <AccountType/>
      </UserInfo>
    </Students>
    <Math_Settings xmlns="cbadeb8c-8bdd-4ca1-b676-a822f30feeda" xsi:nil="true"/>
    <Is_Collaboration_Space_Locked xmlns="cbadeb8c-8bdd-4ca1-b676-a822f30feeda" xsi:nil="true"/>
  </documentManagement>
</p:properties>
</file>

<file path=customXml/itemProps1.xml><?xml version="1.0" encoding="utf-8"?>
<ds:datastoreItem xmlns:ds="http://schemas.openxmlformats.org/officeDocument/2006/customXml" ds:itemID="{745934B2-E4AC-46A5-BADA-129319EDD5C2}">
  <ds:schemaRefs>
    <ds:schemaRef ds:uri="http://schemas.openxmlformats.org/officeDocument/2006/bibliography"/>
  </ds:schemaRefs>
</ds:datastoreItem>
</file>

<file path=customXml/itemProps2.xml><?xml version="1.0" encoding="utf-8"?>
<ds:datastoreItem xmlns:ds="http://schemas.openxmlformats.org/officeDocument/2006/customXml" ds:itemID="{9A4ACDF8-94D5-4741-8F16-525102FEF0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adeb8c-8bdd-4ca1-b676-a822f30feeda"/>
    <ds:schemaRef ds:uri="bbdbec18-7f05-4cd4-ad21-a5cd445ddd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E4761B-4622-413A-B109-F267F1865E0A}">
  <ds:schemaRefs>
    <ds:schemaRef ds:uri="http://schemas.microsoft.com/sharepoint/v3/contenttype/forms"/>
  </ds:schemaRefs>
</ds:datastoreItem>
</file>

<file path=customXml/itemProps4.xml><?xml version="1.0" encoding="utf-8"?>
<ds:datastoreItem xmlns:ds="http://schemas.openxmlformats.org/officeDocument/2006/customXml" ds:itemID="{29E1F54A-5B80-4CE1-8AFB-5D30FB788778}">
  <ds:schemaRefs>
    <ds:schemaRef ds:uri="http://schemas.microsoft.com/office/2006/metadata/properties"/>
    <ds:schemaRef ds:uri="http://schemas.microsoft.com/office/infopath/2007/PartnerControls"/>
    <ds:schemaRef ds:uri="cbadeb8c-8bdd-4ca1-b676-a822f30feeda"/>
  </ds:schemaRefs>
</ds:datastoreItem>
</file>

<file path=docProps/app.xml><?xml version="1.0" encoding="utf-8"?>
<Properties xmlns="http://schemas.openxmlformats.org/officeDocument/2006/extended-properties" xmlns:vt="http://schemas.openxmlformats.org/officeDocument/2006/docPropsVTypes">
  <Template>C:\Users\sbagieu\AppData\Local\Microsoft\Windows\INetCache\IE\2I93AX3E\Industrial Research Document template (2_1).dotx</Template>
  <TotalTime>1</TotalTime>
  <Pages>28</Pages>
  <Words>28701</Words>
  <Characters>163596</Characters>
  <Application>Microsoft Office Word</Application>
  <DocSecurity>0</DocSecurity>
  <Lines>1363</Lines>
  <Paragraphs>383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[SESAR 2020 General Document Template ER]</vt:lpstr>
      <vt:lpstr>[SESAR 2020 General Document Template ER]</vt:lpstr>
    </vt:vector>
  </TitlesOfParts>
  <Company>SESAR Joint Undertaking</Company>
  <LinksUpToDate>false</LinksUpToDate>
  <CharactersWithSpaces>191914</CharactersWithSpaces>
  <SharedDoc>false</SharedDoc>
  <HLinks>
    <vt:vector size="114" baseType="variant">
      <vt:variant>
        <vt:i4>1507379</vt:i4>
      </vt:variant>
      <vt:variant>
        <vt:i4>158</vt:i4>
      </vt:variant>
      <vt:variant>
        <vt:i4>0</vt:i4>
      </vt:variant>
      <vt:variant>
        <vt:i4>5</vt:i4>
      </vt:variant>
      <vt:variant>
        <vt:lpwstr/>
      </vt:variant>
      <vt:variant>
        <vt:lpwstr>_Toc479671908</vt:lpwstr>
      </vt:variant>
      <vt:variant>
        <vt:i4>1507379</vt:i4>
      </vt:variant>
      <vt:variant>
        <vt:i4>152</vt:i4>
      </vt:variant>
      <vt:variant>
        <vt:i4>0</vt:i4>
      </vt:variant>
      <vt:variant>
        <vt:i4>5</vt:i4>
      </vt:variant>
      <vt:variant>
        <vt:lpwstr/>
      </vt:variant>
      <vt:variant>
        <vt:lpwstr>_Toc479671907</vt:lpwstr>
      </vt:variant>
      <vt:variant>
        <vt:i4>1507379</vt:i4>
      </vt:variant>
      <vt:variant>
        <vt:i4>143</vt:i4>
      </vt:variant>
      <vt:variant>
        <vt:i4>0</vt:i4>
      </vt:variant>
      <vt:variant>
        <vt:i4>5</vt:i4>
      </vt:variant>
      <vt:variant>
        <vt:lpwstr/>
      </vt:variant>
      <vt:variant>
        <vt:lpwstr>_Toc479671906</vt:lpwstr>
      </vt:variant>
      <vt:variant>
        <vt:i4>1507379</vt:i4>
      </vt:variant>
      <vt:variant>
        <vt:i4>134</vt:i4>
      </vt:variant>
      <vt:variant>
        <vt:i4>0</vt:i4>
      </vt:variant>
      <vt:variant>
        <vt:i4>5</vt:i4>
      </vt:variant>
      <vt:variant>
        <vt:lpwstr/>
      </vt:variant>
      <vt:variant>
        <vt:lpwstr>_Toc479671905</vt:lpwstr>
      </vt:variant>
      <vt:variant>
        <vt:i4>1507379</vt:i4>
      </vt:variant>
      <vt:variant>
        <vt:i4>128</vt:i4>
      </vt:variant>
      <vt:variant>
        <vt:i4>0</vt:i4>
      </vt:variant>
      <vt:variant>
        <vt:i4>5</vt:i4>
      </vt:variant>
      <vt:variant>
        <vt:lpwstr/>
      </vt:variant>
      <vt:variant>
        <vt:lpwstr>_Toc479671904</vt:lpwstr>
      </vt:variant>
      <vt:variant>
        <vt:i4>1507379</vt:i4>
      </vt:variant>
      <vt:variant>
        <vt:i4>122</vt:i4>
      </vt:variant>
      <vt:variant>
        <vt:i4>0</vt:i4>
      </vt:variant>
      <vt:variant>
        <vt:i4>5</vt:i4>
      </vt:variant>
      <vt:variant>
        <vt:lpwstr/>
      </vt:variant>
      <vt:variant>
        <vt:lpwstr>_Toc479671903</vt:lpwstr>
      </vt:variant>
      <vt:variant>
        <vt:i4>1507379</vt:i4>
      </vt:variant>
      <vt:variant>
        <vt:i4>116</vt:i4>
      </vt:variant>
      <vt:variant>
        <vt:i4>0</vt:i4>
      </vt:variant>
      <vt:variant>
        <vt:i4>5</vt:i4>
      </vt:variant>
      <vt:variant>
        <vt:lpwstr/>
      </vt:variant>
      <vt:variant>
        <vt:lpwstr>_Toc479671902</vt:lpwstr>
      </vt:variant>
      <vt:variant>
        <vt:i4>1507379</vt:i4>
      </vt:variant>
      <vt:variant>
        <vt:i4>110</vt:i4>
      </vt:variant>
      <vt:variant>
        <vt:i4>0</vt:i4>
      </vt:variant>
      <vt:variant>
        <vt:i4>5</vt:i4>
      </vt:variant>
      <vt:variant>
        <vt:lpwstr/>
      </vt:variant>
      <vt:variant>
        <vt:lpwstr>_Toc479671901</vt:lpwstr>
      </vt:variant>
      <vt:variant>
        <vt:i4>1507379</vt:i4>
      </vt:variant>
      <vt:variant>
        <vt:i4>104</vt:i4>
      </vt:variant>
      <vt:variant>
        <vt:i4>0</vt:i4>
      </vt:variant>
      <vt:variant>
        <vt:i4>5</vt:i4>
      </vt:variant>
      <vt:variant>
        <vt:lpwstr/>
      </vt:variant>
      <vt:variant>
        <vt:lpwstr>_Toc479671900</vt:lpwstr>
      </vt:variant>
      <vt:variant>
        <vt:i4>1966130</vt:i4>
      </vt:variant>
      <vt:variant>
        <vt:i4>98</vt:i4>
      </vt:variant>
      <vt:variant>
        <vt:i4>0</vt:i4>
      </vt:variant>
      <vt:variant>
        <vt:i4>5</vt:i4>
      </vt:variant>
      <vt:variant>
        <vt:lpwstr/>
      </vt:variant>
      <vt:variant>
        <vt:lpwstr>_Toc479671899</vt:lpwstr>
      </vt:variant>
      <vt:variant>
        <vt:i4>1966130</vt:i4>
      </vt:variant>
      <vt:variant>
        <vt:i4>92</vt:i4>
      </vt:variant>
      <vt:variant>
        <vt:i4>0</vt:i4>
      </vt:variant>
      <vt:variant>
        <vt:i4>5</vt:i4>
      </vt:variant>
      <vt:variant>
        <vt:lpwstr/>
      </vt:variant>
      <vt:variant>
        <vt:lpwstr>_Toc479671898</vt:lpwstr>
      </vt:variant>
      <vt:variant>
        <vt:i4>1966130</vt:i4>
      </vt:variant>
      <vt:variant>
        <vt:i4>86</vt:i4>
      </vt:variant>
      <vt:variant>
        <vt:i4>0</vt:i4>
      </vt:variant>
      <vt:variant>
        <vt:i4>5</vt:i4>
      </vt:variant>
      <vt:variant>
        <vt:lpwstr/>
      </vt:variant>
      <vt:variant>
        <vt:lpwstr>_Toc479671897</vt:lpwstr>
      </vt:variant>
      <vt:variant>
        <vt:i4>1966130</vt:i4>
      </vt:variant>
      <vt:variant>
        <vt:i4>80</vt:i4>
      </vt:variant>
      <vt:variant>
        <vt:i4>0</vt:i4>
      </vt:variant>
      <vt:variant>
        <vt:i4>5</vt:i4>
      </vt:variant>
      <vt:variant>
        <vt:lpwstr/>
      </vt:variant>
      <vt:variant>
        <vt:lpwstr>_Toc479671896</vt:lpwstr>
      </vt:variant>
      <vt:variant>
        <vt:i4>1966130</vt:i4>
      </vt:variant>
      <vt:variant>
        <vt:i4>74</vt:i4>
      </vt:variant>
      <vt:variant>
        <vt:i4>0</vt:i4>
      </vt:variant>
      <vt:variant>
        <vt:i4>5</vt:i4>
      </vt:variant>
      <vt:variant>
        <vt:lpwstr/>
      </vt:variant>
      <vt:variant>
        <vt:lpwstr>_Toc479671895</vt:lpwstr>
      </vt:variant>
      <vt:variant>
        <vt:i4>1966130</vt:i4>
      </vt:variant>
      <vt:variant>
        <vt:i4>68</vt:i4>
      </vt:variant>
      <vt:variant>
        <vt:i4>0</vt:i4>
      </vt:variant>
      <vt:variant>
        <vt:i4>5</vt:i4>
      </vt:variant>
      <vt:variant>
        <vt:lpwstr/>
      </vt:variant>
      <vt:variant>
        <vt:lpwstr>_Toc479671894</vt:lpwstr>
      </vt:variant>
      <vt:variant>
        <vt:i4>1966130</vt:i4>
      </vt:variant>
      <vt:variant>
        <vt:i4>62</vt:i4>
      </vt:variant>
      <vt:variant>
        <vt:i4>0</vt:i4>
      </vt:variant>
      <vt:variant>
        <vt:i4>5</vt:i4>
      </vt:variant>
      <vt:variant>
        <vt:lpwstr/>
      </vt:variant>
      <vt:variant>
        <vt:lpwstr>_Toc479671893</vt:lpwstr>
      </vt:variant>
      <vt:variant>
        <vt:i4>1966130</vt:i4>
      </vt:variant>
      <vt:variant>
        <vt:i4>56</vt:i4>
      </vt:variant>
      <vt:variant>
        <vt:i4>0</vt:i4>
      </vt:variant>
      <vt:variant>
        <vt:i4>5</vt:i4>
      </vt:variant>
      <vt:variant>
        <vt:lpwstr/>
      </vt:variant>
      <vt:variant>
        <vt:lpwstr>_Toc479671892</vt:lpwstr>
      </vt:variant>
      <vt:variant>
        <vt:i4>1966130</vt:i4>
      </vt:variant>
      <vt:variant>
        <vt:i4>50</vt:i4>
      </vt:variant>
      <vt:variant>
        <vt:i4>0</vt:i4>
      </vt:variant>
      <vt:variant>
        <vt:i4>5</vt:i4>
      </vt:variant>
      <vt:variant>
        <vt:lpwstr/>
      </vt:variant>
      <vt:variant>
        <vt:lpwstr>_Toc479671891</vt:lpwstr>
      </vt:variant>
      <vt:variant>
        <vt:i4>1966130</vt:i4>
      </vt:variant>
      <vt:variant>
        <vt:i4>44</vt:i4>
      </vt:variant>
      <vt:variant>
        <vt:i4>0</vt:i4>
      </vt:variant>
      <vt:variant>
        <vt:i4>5</vt:i4>
      </vt:variant>
      <vt:variant>
        <vt:lpwstr/>
      </vt:variant>
      <vt:variant>
        <vt:lpwstr>_Toc479671890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[SESAR 2020 General Document Template ER]</dc:title>
  <dc:subject>[Project Title]</dc:subject>
  <dc:creator>SJU</dc:creator>
  <cp:lastModifiedBy>Mobyen Uddin Ahmed</cp:lastModifiedBy>
  <cp:revision>3</cp:revision>
  <cp:lastPrinted>2016-02-12T09:29:00Z</cp:lastPrinted>
  <dcterms:created xsi:type="dcterms:W3CDTF">2022-05-13T09:15:00Z</dcterms:created>
  <dcterms:modified xsi:type="dcterms:W3CDTF">2022-05-13T09:15:00Z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Year">
    <vt:lpwstr>[Year]</vt:lpwstr>
  </property>
  <property fmtid="{D5CDD505-2E9C-101B-9397-08002B2CF9AE}" pid="3" name="CopyRightOwner">
    <vt:lpwstr>[CopyRightOwner]</vt:lpwstr>
  </property>
  <property fmtid="{D5CDD505-2E9C-101B-9397-08002B2CF9AE}" pid="4" name="DeliverableID">
    <vt:lpwstr>[DeliverableID]</vt:lpwstr>
  </property>
  <property fmtid="{D5CDD505-2E9C-101B-9397-08002B2CF9AE}" pid="5" name="ProjectAcronym">
    <vt:lpwstr>[ProjectAcronym]</vt:lpwstr>
  </property>
  <property fmtid="{D5CDD505-2E9C-101B-9397-08002B2CF9AE}" pid="6" name="GrantNumber">
    <vt:lpwstr>[xxxxxx]</vt:lpwstr>
  </property>
  <property fmtid="{D5CDD505-2E9C-101B-9397-08002B2CF9AE}" pid="7" name="CallReference">
    <vt:lpwstr>[H2020-SESAR-20xx-y]</vt:lpwstr>
  </property>
  <property fmtid="{D5CDD505-2E9C-101B-9397-08002B2CF9AE}" pid="8" name="TopicReference">
    <vt:lpwstr>[TopicReference]</vt:lpwstr>
  </property>
  <property fmtid="{D5CDD505-2E9C-101B-9397-08002B2CF9AE}" pid="9" name="EditionNumber">
    <vt:lpwstr>[xx.xx.xx]</vt:lpwstr>
  </property>
  <property fmtid="{D5CDD505-2E9C-101B-9397-08002B2CF9AE}" pid="10" name="EditionDate">
    <vt:lpwstr>[xx Month 20xx]</vt:lpwstr>
  </property>
  <property fmtid="{D5CDD505-2E9C-101B-9397-08002B2CF9AE}" pid="11" name="ConsortiumCoordinatorCompany">
    <vt:lpwstr>[company short name]</vt:lpwstr>
  </property>
  <property fmtid="{D5CDD505-2E9C-101B-9397-08002B2CF9AE}" pid="12" name="DisseminationLevel">
    <vt:lpwstr>[PU/CO/CL]</vt:lpwstr>
  </property>
  <property fmtid="{D5CDD505-2E9C-101B-9397-08002B2CF9AE}" pid="13" name="ContentTypeId">
    <vt:lpwstr>0x0101008143D637334B5A439D8DCCAE7E34CDF9</vt:lpwstr>
  </property>
  <property fmtid="{D5CDD505-2E9C-101B-9397-08002B2CF9AE}" pid="14" name="Order">
    <vt:r8>14600</vt:r8>
  </property>
  <property fmtid="{D5CDD505-2E9C-101B-9397-08002B2CF9AE}" pid="15" name="Level">
    <vt:lpwstr>3</vt:lpwstr>
  </property>
  <property fmtid="{D5CDD505-2E9C-101B-9397-08002B2CF9AE}" pid="16" name="Sub-Domain">
    <vt:lpwstr>7</vt:lpwstr>
  </property>
  <property fmtid="{D5CDD505-2E9C-101B-9397-08002B2CF9AE}" pid="17" name="Relevance">
    <vt:lpwstr>2</vt:lpwstr>
  </property>
  <property fmtid="{D5CDD505-2E9C-101B-9397-08002B2CF9AE}" pid="18" name="Applicable Grants">
    <vt:lpwstr>12;#;#4;#;#5;#;#6;#;#7;#;#8;#;#13;#;#9;#;#10;#;#11;#;#14;#;#15;#;#55;#;#17;#;#56;#;#19;#;#20;#;#1;#;#2;#;#3;#</vt:lpwstr>
  </property>
  <property fmtid="{D5CDD505-2E9C-101B-9397-08002B2CF9AE}" pid="19" name="Retention Period">
    <vt:lpwstr>2</vt:lpwstr>
  </property>
  <property fmtid="{D5CDD505-2E9C-101B-9397-08002B2CF9AE}" pid="20" name="Process">
    <vt:lpwstr>12</vt:lpwstr>
  </property>
  <property fmtid="{D5CDD505-2E9C-101B-9397-08002B2CF9AE}" pid="21" name="Applicable To">
    <vt:lpwstr/>
  </property>
  <property fmtid="{D5CDD505-2E9C-101B-9397-08002B2CF9AE}" pid="22" name="Domain">
    <vt:lpwstr>14</vt:lpwstr>
  </property>
  <property fmtid="{D5CDD505-2E9C-101B-9397-08002B2CF9AE}" pid="23" name="Template Edition">
    <vt:lpwstr>02.00.03</vt:lpwstr>
  </property>
  <property fmtid="{D5CDD505-2E9C-101B-9397-08002B2CF9AE}" pid="24" name="Template Name">
    <vt:lpwstr>S2020 Document Template</vt:lpwstr>
  </property>
  <property fmtid="{D5CDD505-2E9C-101B-9397-08002B2CF9AE}" pid="25" name="File Edition">
    <vt:lpwstr>01.00.00</vt:lpwstr>
  </property>
  <property fmtid="{D5CDD505-2E9C-101B-9397-08002B2CF9AE}" pid="26" name="Approval Status">
    <vt:lpwstr>3</vt:lpwstr>
  </property>
  <property fmtid="{D5CDD505-2E9C-101B-9397-08002B2CF9AE}" pid="27" name="Owner">
    <vt:lpwstr>117;#Wim Post</vt:lpwstr>
  </property>
  <property fmtid="{D5CDD505-2E9C-101B-9397-08002B2CF9AE}" pid="28" name="Linked CR ID">
    <vt:lpwstr>46</vt:lpwstr>
  </property>
  <property fmtid="{D5CDD505-2E9C-101B-9397-08002B2CF9AE}" pid="29" name="Notes/Comments">
    <vt:lpwstr/>
  </property>
  <property fmtid="{D5CDD505-2E9C-101B-9397-08002B2CF9AE}" pid="30" name="Framework Document Type1">
    <vt:lpwstr>Template</vt:lpwstr>
  </property>
  <property fmtid="{D5CDD505-2E9C-101B-9397-08002B2CF9AE}" pid="31" name="Project Type">
    <vt:lpwstr>2</vt:lpwstr>
  </property>
  <property fmtid="{D5CDD505-2E9C-101B-9397-08002B2CF9AE}" pid="32" name="Project Nature">
    <vt:lpwstr>1</vt:lpwstr>
  </property>
  <property fmtid="{D5CDD505-2E9C-101B-9397-08002B2CF9AE}" pid="33" name="D&amp;D Process">
    <vt:lpwstr/>
  </property>
  <property fmtid="{D5CDD505-2E9C-101B-9397-08002B2CF9AE}" pid="34" name="Approver">
    <vt:lpwstr/>
  </property>
  <property fmtid="{D5CDD505-2E9C-101B-9397-08002B2CF9AE}" pid="35" name="Grant Acronym">
    <vt:lpwstr/>
  </property>
  <property fmtid="{D5CDD505-2E9C-101B-9397-08002B2CF9AE}" pid="36" name="Applicable Solutions">
    <vt:lpwstr/>
  </property>
  <property fmtid="{D5CDD505-2E9C-101B-9397-08002B2CF9AE}" pid="37" name="Solution ID">
    <vt:lpwstr>None</vt:lpwstr>
  </property>
</Properties>
</file>